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DF24" w14:textId="20CB00D3" w:rsidR="00184155" w:rsidRDefault="00184155" w:rsidP="00184155">
      <w:pPr>
        <w:pStyle w:val="Heading1"/>
      </w:pPr>
      <w:bookmarkStart w:id="0" w:name="_Toc220429158"/>
      <w:r w:rsidRPr="0067252C">
        <w:t>Executive summary</w:t>
      </w:r>
      <w:bookmarkEnd w:id="0"/>
      <w:r>
        <w:rPr>
          <w:lang w:eastAsia="en-GB"/>
        </w:rPr>
        <w:t xml:space="preserve">: </w:t>
      </w:r>
      <w:r w:rsidRPr="004870D0">
        <w:rPr>
          <w:lang w:eastAsia="en-GB"/>
        </w:rPr>
        <w:t>“No</w:t>
      </w:r>
      <w:r>
        <w:rPr>
          <w:lang w:eastAsia="en-GB"/>
        </w:rPr>
        <w:t xml:space="preserve"> man’s land</w:t>
      </w:r>
      <w:r w:rsidRPr="004870D0">
        <w:rPr>
          <w:lang w:eastAsia="en-GB"/>
        </w:rPr>
        <w:t>”</w:t>
      </w:r>
      <w:r>
        <w:rPr>
          <w:lang w:eastAsia="en-GB"/>
        </w:rPr>
        <w:t xml:space="preserve"> </w:t>
      </w:r>
      <w:r w:rsidRPr="004870D0">
        <w:rPr>
          <w:lang w:eastAsia="en-GB"/>
        </w:rPr>
        <w:t xml:space="preserve">A </w:t>
      </w:r>
      <w:r>
        <w:t>h</w:t>
      </w:r>
      <w:r w:rsidRPr="004870D0">
        <w:rPr>
          <w:lang w:eastAsia="en-GB"/>
        </w:rPr>
        <w:t xml:space="preserve">uman </w:t>
      </w:r>
      <w:r>
        <w:t>r</w:t>
      </w:r>
      <w:r w:rsidRPr="004870D0">
        <w:rPr>
          <w:lang w:eastAsia="en-GB"/>
        </w:rPr>
        <w:t xml:space="preserve">ights </w:t>
      </w:r>
      <w:r>
        <w:t>a</w:t>
      </w:r>
      <w:r w:rsidRPr="004870D0">
        <w:rPr>
          <w:lang w:eastAsia="en-GB"/>
        </w:rPr>
        <w:t>ssessment of the</w:t>
      </w:r>
      <w:r>
        <w:rPr>
          <w:lang w:eastAsia="en-GB"/>
        </w:rPr>
        <w:t xml:space="preserve"> ‘Tinker Experiment’</w:t>
      </w:r>
      <w:r w:rsidRPr="004870D0">
        <w:rPr>
          <w:lang w:eastAsia="en-GB"/>
        </w:rPr>
        <w:t xml:space="preserve"> and</w:t>
      </w:r>
      <w:r>
        <w:t xml:space="preserve"> redress </w:t>
      </w:r>
      <w:r w:rsidRPr="004870D0">
        <w:rPr>
          <w:lang w:eastAsia="en-GB"/>
        </w:rPr>
        <w:t>for it</w:t>
      </w:r>
      <w:r>
        <w:t>s</w:t>
      </w:r>
      <w:r w:rsidRPr="004870D0">
        <w:rPr>
          <w:lang w:eastAsia="en-GB"/>
        </w:rPr>
        <w:t xml:space="preserve"> </w:t>
      </w:r>
      <w:r>
        <w:t>v</w:t>
      </w:r>
      <w:r w:rsidRPr="004870D0">
        <w:rPr>
          <w:lang w:eastAsia="en-GB"/>
        </w:rPr>
        <w:t>ictims</w:t>
      </w:r>
    </w:p>
    <w:p w14:paraId="36762E20" w14:textId="334E212F" w:rsidR="0067252C" w:rsidRPr="0067252C" w:rsidRDefault="0067252C" w:rsidP="00184155">
      <w:pPr>
        <w:pStyle w:val="Heading2"/>
      </w:pPr>
      <w:r w:rsidRPr="0067252C">
        <w:t xml:space="preserve">Background and context </w:t>
      </w:r>
    </w:p>
    <w:p w14:paraId="6ED455B1" w14:textId="77777777" w:rsidR="0067252C" w:rsidRPr="0067252C" w:rsidRDefault="0067252C" w:rsidP="0067252C">
      <w:r w:rsidRPr="0067252C">
        <w:t>The issue of the Tinker Experiment was first raised in the Scottish Parliament in 2010. At this time, the Public Petitions Committee stated that more evidence was required in order to justify an apology.</w:t>
      </w:r>
      <w:r w:rsidRPr="0067252C">
        <w:rPr>
          <w:rStyle w:val="EndnoteReference"/>
        </w:rPr>
        <w:endnoteReference w:id="2"/>
      </w:r>
      <w:r w:rsidRPr="0067252C">
        <w:t xml:space="preserve"> Over the years that followed, victims of the experiment continued to advocate for the issue to be addressed. In 2016, they formed RAJPOT (Refuge for Allies of Justice and Persons from Oppressed Tribes), a Gypsy Traveller led inter-cultural peace centre. RAJPOT went on to share their experiences at events and met with senior Scottish Government officials, eventually leading the Scottish Government to commission research into the experiment in 2023. That research was undertaken by the Third Generation Project at the University of St Andrews.</w:t>
      </w:r>
    </w:p>
    <w:p w14:paraId="62E85FDC" w14:textId="77777777" w:rsidR="0067252C" w:rsidRPr="0067252C" w:rsidRDefault="0067252C" w:rsidP="0067252C">
      <w:r w:rsidRPr="0067252C">
        <w:t xml:space="preserve">The Scottish Government research identified a range of State and private actors involved in the Tinker Experiment including national governments, Scottish Office-led committees, Scottish local authorities, the Church of Scotland, the police, and charities including the Royal Scottish Society for the Protection of Cruelty to Children (RSSPCC), the Aberlour Trust, Quarriers and Barnardo’s. The research refers to what occurred as a 'Cultural Genocide'. </w:t>
      </w:r>
    </w:p>
    <w:p w14:paraId="07B25ECE" w14:textId="77777777" w:rsidR="0067252C" w:rsidRPr="0067252C" w:rsidRDefault="0067252C" w:rsidP="0067252C">
      <w:r w:rsidRPr="0067252C">
        <w:t>Following the completion of that research, on the 25th of June 2025, during Gypsy Roma Traveller History Month, First Minister John Swinney offered the victims of the Tinker Experiment an apology. However, the apology was lacking the tangible plans for redress and reparations that the victims had spent over 15 years advocating for.</w:t>
      </w:r>
    </w:p>
    <w:p w14:paraId="60EBBD2E" w14:textId="71C6199C" w:rsidR="0067252C" w:rsidRDefault="0067252C" w:rsidP="0067252C">
      <w:r w:rsidRPr="0067252C">
        <w:t>The issue of the Tinker Experiment was brought to the attention of the SHRC in 2023. We met with victims of the experiment, visited sites at Bobbin Mill and Tarvit Mill and heard victims' experiences of the impact of the Tinker Experiment. In 2023, SHRC decided to undertake a spotlight project, commencing work the following year. This project involved working with victims to investigate the cultural recognition of Scotland's Gypsy Travellers as a human rights issue.</w:t>
      </w:r>
    </w:p>
    <w:p w14:paraId="06C62BBF" w14:textId="77777777" w:rsidR="00184155" w:rsidRDefault="00184155" w:rsidP="00184155">
      <w:pPr>
        <w:pStyle w:val="Heading2"/>
      </w:pPr>
      <w:r>
        <w:lastRenderedPageBreak/>
        <w:t>Timeline of forced assimilation events</w:t>
      </w:r>
    </w:p>
    <w:p w14:paraId="7B88E220" w14:textId="77777777" w:rsidR="00184155" w:rsidRPr="00921DE8" w:rsidRDefault="00184155" w:rsidP="00184155">
      <w:pPr>
        <w:pStyle w:val="Bullet1"/>
        <w:tabs>
          <w:tab w:val="num" w:pos="360"/>
        </w:tabs>
        <w:spacing w:before="120" w:after="120"/>
      </w:pPr>
      <w:r w:rsidRPr="00921DE8">
        <w:t>1824</w:t>
      </w:r>
      <w:r>
        <w:t xml:space="preserve">: </w:t>
      </w:r>
      <w:r w:rsidRPr="00921DE8">
        <w:t>The Vagrancy Act is enacted which conflated nomadism with vagrancy.</w:t>
      </w:r>
    </w:p>
    <w:p w14:paraId="4D57D81D" w14:textId="77777777" w:rsidR="00184155" w:rsidRPr="00921DE8" w:rsidRDefault="00184155" w:rsidP="00184155">
      <w:pPr>
        <w:pStyle w:val="Bullet1"/>
        <w:tabs>
          <w:tab w:val="num" w:pos="360"/>
        </w:tabs>
        <w:spacing w:before="120" w:after="120"/>
      </w:pPr>
      <w:r w:rsidRPr="00921DE8">
        <w:t>1854: The Reformatory and Industrial Schools (Scotland) Act was enacted allowing for Sheriffs and Magistrates to send children under the age of fourteen to an industrial school if they were found begging, not having a home or settled abode, proper guardianship or visible means of subsistence.</w:t>
      </w:r>
    </w:p>
    <w:p w14:paraId="3E0ABF5B" w14:textId="77777777" w:rsidR="00184155" w:rsidRPr="00921DE8" w:rsidRDefault="00184155" w:rsidP="00184155">
      <w:pPr>
        <w:pStyle w:val="Bullet1"/>
        <w:tabs>
          <w:tab w:val="num" w:pos="360"/>
        </w:tabs>
        <w:spacing w:before="120" w:after="120"/>
      </w:pPr>
      <w:r w:rsidRPr="00921DE8">
        <w:t xml:space="preserve">1865: The Trespass (Scotland) Act was enacted making it an offence to lodge or encamp on premises or private land without the consent of the landowner. It also made it illegal to camp or light a fire on or near any private roads, enclosed or cultivated land, plantation, on or near any turnpike road, statute labour road or other highway. </w:t>
      </w:r>
    </w:p>
    <w:p w14:paraId="3D5BD256" w14:textId="77777777" w:rsidR="00184155" w:rsidRPr="00921DE8" w:rsidRDefault="00184155" w:rsidP="00184155">
      <w:pPr>
        <w:pStyle w:val="Bullet1"/>
        <w:tabs>
          <w:tab w:val="num" w:pos="360"/>
        </w:tabs>
        <w:spacing w:before="120" w:after="120"/>
      </w:pPr>
      <w:r w:rsidRPr="00921DE8">
        <w:t xml:space="preserve">1871: The Vagrancy Act is extended to Scotland through Section 15  of  The Prevention of Crimes Act  which criminalised those living in the open air or under a tent. </w:t>
      </w:r>
    </w:p>
    <w:p w14:paraId="06A103A3" w14:textId="77777777" w:rsidR="00184155" w:rsidRPr="00921DE8" w:rsidRDefault="00184155" w:rsidP="00184155">
      <w:pPr>
        <w:pStyle w:val="Bullet1"/>
        <w:tabs>
          <w:tab w:val="num" w:pos="360"/>
        </w:tabs>
        <w:spacing w:before="120" w:after="120"/>
      </w:pPr>
      <w:r w:rsidRPr="00921DE8">
        <w:t xml:space="preserve">1871: The Pedlar's Act was enacted leading to the regulation of individuals travelling to sell goods or services.  </w:t>
      </w:r>
    </w:p>
    <w:p w14:paraId="6A15483F" w14:textId="77777777" w:rsidR="00184155" w:rsidRPr="00921DE8" w:rsidRDefault="00184155" w:rsidP="00184155">
      <w:pPr>
        <w:pStyle w:val="Bullet1"/>
        <w:tabs>
          <w:tab w:val="num" w:pos="360"/>
        </w:tabs>
        <w:spacing w:before="120" w:after="120"/>
      </w:pPr>
      <w:r w:rsidRPr="00921DE8">
        <w:t>1887: The Roads and Bridges (Scotland) Act was enacted which prohibited Gypsy Travellers from pitching tents or encamping on or by the side of any road.</w:t>
      </w:r>
    </w:p>
    <w:p w14:paraId="4D819664" w14:textId="77777777" w:rsidR="00184155" w:rsidRPr="00921DE8" w:rsidRDefault="00184155" w:rsidP="00184155">
      <w:pPr>
        <w:pStyle w:val="Bullet1"/>
        <w:tabs>
          <w:tab w:val="num" w:pos="360"/>
        </w:tabs>
        <w:spacing w:before="120" w:after="120"/>
      </w:pPr>
      <w:r w:rsidRPr="00921DE8">
        <w:t>1894: The establishment of an Inquiry into ‘Habitual Offenders, Vagrants, Beggars, Inebriates and Juvenile Delinquents’.</w:t>
      </w:r>
    </w:p>
    <w:p w14:paraId="7F735DAE" w14:textId="77777777" w:rsidR="00184155" w:rsidRPr="00921DE8" w:rsidRDefault="00184155" w:rsidP="00184155">
      <w:pPr>
        <w:pStyle w:val="Bullet1"/>
        <w:tabs>
          <w:tab w:val="num" w:pos="360"/>
        </w:tabs>
        <w:spacing w:before="120" w:after="120"/>
      </w:pPr>
      <w:r w:rsidRPr="00921DE8">
        <w:t xml:space="preserve">1895: The Inquiry into ‘Habitual Offenders, Vagrants, Beggars, Inebriates and Juvenile Delinquents’ publish its report. </w:t>
      </w:r>
    </w:p>
    <w:p w14:paraId="07DDD6DF" w14:textId="77777777" w:rsidR="00184155" w:rsidRPr="00921DE8" w:rsidRDefault="00184155" w:rsidP="00184155">
      <w:pPr>
        <w:pStyle w:val="Bullet1"/>
        <w:tabs>
          <w:tab w:val="num" w:pos="360"/>
        </w:tabs>
        <w:spacing w:before="120" w:after="120"/>
      </w:pPr>
      <w:r w:rsidRPr="00921DE8">
        <w:t xml:space="preserve">1897: The Public Health (Scotland) Act was enacted granting individual local authorities the power to create by-laws regulating tents, sheds, and other similar structures deemed a public health nuisance. </w:t>
      </w:r>
    </w:p>
    <w:p w14:paraId="6488E9D3" w14:textId="77777777" w:rsidR="00184155" w:rsidRPr="00921DE8" w:rsidRDefault="00184155" w:rsidP="00184155">
      <w:pPr>
        <w:pStyle w:val="Bullet1"/>
        <w:tabs>
          <w:tab w:val="num" w:pos="360"/>
        </w:tabs>
        <w:spacing w:before="120" w:after="120"/>
      </w:pPr>
      <w:r w:rsidRPr="00921DE8">
        <w:t xml:space="preserve">1908: The Children Act was enacted bringing together laws concerning destitute children, children who were victims of cruelty and neglect and children who had committed an offence.  </w:t>
      </w:r>
    </w:p>
    <w:p w14:paraId="737F220F" w14:textId="77777777" w:rsidR="00184155" w:rsidRPr="00921DE8" w:rsidRDefault="00184155" w:rsidP="00184155">
      <w:pPr>
        <w:pStyle w:val="Bullet1"/>
        <w:tabs>
          <w:tab w:val="num" w:pos="360"/>
        </w:tabs>
        <w:spacing w:before="120" w:after="120"/>
      </w:pPr>
      <w:r w:rsidRPr="00921DE8">
        <w:t>1917: A Departmental Committee appointed by the Scottish Office was established on ‘Tinkers in Scotland'</w:t>
      </w:r>
    </w:p>
    <w:p w14:paraId="6F4A948E" w14:textId="77777777" w:rsidR="00184155" w:rsidRPr="00921DE8" w:rsidRDefault="00184155" w:rsidP="00184155">
      <w:pPr>
        <w:pStyle w:val="Bullet1"/>
        <w:tabs>
          <w:tab w:val="num" w:pos="360"/>
        </w:tabs>
        <w:spacing w:before="120" w:after="120"/>
      </w:pPr>
      <w:r w:rsidRPr="00921DE8">
        <w:t>1918: The Departmental Committee on Tinkers in Scotland published their report.</w:t>
      </w:r>
    </w:p>
    <w:p w14:paraId="1B31F636" w14:textId="77777777" w:rsidR="00184155" w:rsidRPr="00921DE8" w:rsidRDefault="00184155" w:rsidP="00184155">
      <w:pPr>
        <w:pStyle w:val="Bullet1"/>
        <w:tabs>
          <w:tab w:val="num" w:pos="360"/>
        </w:tabs>
        <w:spacing w:before="120" w:after="120"/>
      </w:pPr>
      <w:r w:rsidRPr="00921DE8">
        <w:lastRenderedPageBreak/>
        <w:t xml:space="preserve">1936: The Departmental Committee on Vagrancy in Scotland publishes its report. </w:t>
      </w:r>
    </w:p>
    <w:p w14:paraId="66BF3B60" w14:textId="77777777" w:rsidR="00184155" w:rsidRPr="00921DE8" w:rsidRDefault="00184155" w:rsidP="00184155">
      <w:pPr>
        <w:pStyle w:val="Bullet1"/>
        <w:tabs>
          <w:tab w:val="num" w:pos="360"/>
        </w:tabs>
        <w:spacing w:before="120" w:after="120"/>
      </w:pPr>
      <w:r w:rsidRPr="00921DE8">
        <w:t>1967: Criminal Justice Act was enacted increasing maximum penalties for offences under the Trespass (Scotland) Act.</w:t>
      </w:r>
    </w:p>
    <w:p w14:paraId="5155AFD6" w14:textId="77777777" w:rsidR="00184155" w:rsidRPr="00EE7AD4" w:rsidRDefault="00184155" w:rsidP="00184155">
      <w:pPr>
        <w:pStyle w:val="Quotes"/>
        <w:rPr>
          <w:i/>
        </w:rPr>
      </w:pPr>
      <w:r w:rsidRPr="00EE7AD4">
        <w:t>Note: This timeline does not seek to cover every event in relation to Forced Assimilation but rather provides a comprehensive summary of Ramsay and McPhees research in combination with key events identified from the SHRC's literature review.</w:t>
      </w:r>
    </w:p>
    <w:p w14:paraId="4EC57E54" w14:textId="77777777" w:rsidR="0067252C" w:rsidRPr="0067252C" w:rsidRDefault="0067252C" w:rsidP="0067252C">
      <w:pPr>
        <w:pStyle w:val="Heading2"/>
      </w:pPr>
      <w:r w:rsidRPr="0067252C">
        <w:t>Approach and purpose of this report</w:t>
      </w:r>
    </w:p>
    <w:p w14:paraId="098C3695" w14:textId="77777777" w:rsidR="0067252C" w:rsidRPr="0067252C" w:rsidRDefault="0067252C" w:rsidP="0067252C">
      <w:bookmarkStart w:id="1" w:name="_Hlk216870279"/>
      <w:r w:rsidRPr="0067252C">
        <w:t xml:space="preserve">This report presents the SHRC's analysis of the human rights issues raised by the Tinker Experiment. Our analysis draws on the independent research we commissioned, alongside an examination of the relevant international human rights laws and frameworks. This includes both legally binding human rights treaties as well as non-legally binding guidance, reports, and general comments from international human rights bodies. </w:t>
      </w:r>
    </w:p>
    <w:p w14:paraId="6316B257" w14:textId="77777777" w:rsidR="0067252C" w:rsidRPr="0067252C" w:rsidRDefault="0067252C" w:rsidP="0067252C">
      <w:r w:rsidRPr="0067252C">
        <w:t>This report presents testimonial evidence from victims in line with the SHRC's Participation Strategy for 2024-28.</w:t>
      </w:r>
      <w:r w:rsidRPr="0067252C">
        <w:rPr>
          <w:rStyle w:val="EndnoteReference"/>
        </w:rPr>
        <w:endnoteReference w:id="3"/>
      </w:r>
      <w:r w:rsidRPr="0067252C">
        <w:t xml:space="preserve"> All reasonable efforts have been made to verify statements as fact. However, much of the record on the Tinker Experiment lies in recollections, the experiences and the impacts felt by the victims themselves. Many of the recollections are supported by documents from the Victims’ Archive. Therefore, we have treated this evidence as authoritative for the purposes of identifying human rights issues.</w:t>
      </w:r>
    </w:p>
    <w:p w14:paraId="78C4A6FE" w14:textId="77777777" w:rsidR="0067252C" w:rsidRPr="0067252C" w:rsidRDefault="0067252C" w:rsidP="0067252C">
      <w:r w:rsidRPr="0067252C">
        <w:t xml:space="preserve">This report makes recommendations for addressing the continuing human rights issues stemming from the Tinker Experiment. The SHRC are clear that while the Tinker Experiment may have involved interventions which were lawful at the time they occurred, their lawfulness was the product of anti-Gypsy Traveller prejudice across Scotland and the UK. This led to discrimination and continuing human rights issues. Given this, our human rights analysis considers the ongoing harms of the Tinker Experiment by the human rights standards of today. </w:t>
      </w:r>
    </w:p>
    <w:p w14:paraId="2B4753FD" w14:textId="77777777" w:rsidR="0067252C" w:rsidRPr="0067252C" w:rsidRDefault="0067252C" w:rsidP="0067252C">
      <w:r w:rsidRPr="0067252C">
        <w:t>The final recommendations in this report are informed by an independent expert analysis conducted by Professor Mairead Enright, an expert on redress. Victims of the experiment have had the opportunity to comment on and inform recommendations in line with the SHRC's Participation Strategy and the PANEL principles.</w:t>
      </w:r>
      <w:r w:rsidRPr="0067252C">
        <w:rPr>
          <w:rStyle w:val="EndnoteReference"/>
        </w:rPr>
        <w:endnoteReference w:id="4"/>
      </w:r>
      <w:r w:rsidRPr="0067252C">
        <w:t xml:space="preserve"> These recommendations reflect the actions required of the State by human rights standards and best practice, and which should now be further </w:t>
      </w:r>
      <w:r w:rsidRPr="0067252C">
        <w:lastRenderedPageBreak/>
        <w:t xml:space="preserve">designed, delivered and implemented in partnership with victims of the experiment and Scotland's Gypsy Travellers. </w:t>
      </w:r>
    </w:p>
    <w:p w14:paraId="6A6DD22C" w14:textId="77777777" w:rsidR="0067252C" w:rsidRPr="0067252C" w:rsidRDefault="0067252C" w:rsidP="0067252C">
      <w:r w:rsidRPr="0067252C">
        <w:t xml:space="preserve">The evidence and analysis in this report have led to 20 key findings. These findings cover both historic and continuing human rights issues. They focus on the forced assimilation of Scotland's Gypsy Travellers as well as issues relating to the rights to adequate housing, private and family life, health, education, employment and cultural life. </w:t>
      </w:r>
    </w:p>
    <w:bookmarkEnd w:id="1"/>
    <w:p w14:paraId="1224C3D8" w14:textId="77777777" w:rsidR="0067252C" w:rsidRPr="0067252C" w:rsidRDefault="0067252C" w:rsidP="0067252C">
      <w:pPr>
        <w:pStyle w:val="Heading2"/>
      </w:pPr>
      <w:r w:rsidRPr="0067252C">
        <w:t>Key findings</w:t>
      </w:r>
    </w:p>
    <w:p w14:paraId="2779F17D" w14:textId="77777777" w:rsidR="0067252C" w:rsidRPr="0067252C" w:rsidRDefault="0067252C" w:rsidP="0067252C">
      <w:pPr>
        <w:pStyle w:val="Heading3"/>
      </w:pPr>
      <w:r w:rsidRPr="0067252C">
        <w:t xml:space="preserve">Forced assimilation </w:t>
      </w:r>
    </w:p>
    <w:p w14:paraId="0C320ED9" w14:textId="77777777" w:rsidR="0067252C" w:rsidRPr="0067252C" w:rsidRDefault="0067252C" w:rsidP="0067252C">
      <w:pPr>
        <w:pStyle w:val="ListParagraph"/>
      </w:pPr>
      <w:r w:rsidRPr="0067252C">
        <w:t>The State systemically forced the assimilation of Scotland's Gypsy Travellers by conflating nomadism with vagrancy, discriminating against Gypsy Travellers and by enacting laws in the 1800s and 1900s to supress nomadic practice and to remove Gypsy Traveller children from their families.</w:t>
      </w:r>
    </w:p>
    <w:p w14:paraId="7770446A" w14:textId="77777777" w:rsidR="0067252C" w:rsidRPr="0067252C" w:rsidRDefault="0067252C" w:rsidP="0067252C">
      <w:pPr>
        <w:pStyle w:val="ListParagraph"/>
      </w:pPr>
      <w:r w:rsidRPr="0067252C">
        <w:t>The acts of forced assimilation carried out by the State are incompatible with Article 5(2) of the Framework Convention for the Protection of National Minorities (FCNM).</w:t>
      </w:r>
    </w:p>
    <w:p w14:paraId="28FD8F72" w14:textId="77777777" w:rsidR="0067252C" w:rsidRPr="0067252C" w:rsidRDefault="0067252C" w:rsidP="0067252C">
      <w:pPr>
        <w:pStyle w:val="Heading3"/>
      </w:pPr>
      <w:r w:rsidRPr="0067252C">
        <w:t xml:space="preserve">Right to adequate housing </w:t>
      </w:r>
    </w:p>
    <w:p w14:paraId="2274C27C" w14:textId="77777777" w:rsidR="0067252C" w:rsidRPr="0067252C" w:rsidRDefault="0067252C" w:rsidP="0067252C">
      <w:pPr>
        <w:pStyle w:val="ListParagraph"/>
      </w:pPr>
      <w:bookmarkStart w:id="2" w:name="_Hlk218759229"/>
      <w:r w:rsidRPr="0067252C">
        <w:t>The Scottish Government and local authorities have failed, and continue to fail, to uphold an adequate standard of living protected by Article 11 of ICESCR in relation to adequate housing for Scotland’s Gypsy Travellers.</w:t>
      </w:r>
    </w:p>
    <w:p w14:paraId="7455E01E" w14:textId="77777777" w:rsidR="0067252C" w:rsidRPr="0067252C" w:rsidRDefault="0067252C" w:rsidP="0067252C">
      <w:pPr>
        <w:pStyle w:val="ListParagraph"/>
      </w:pPr>
      <w:r w:rsidRPr="0067252C">
        <w:t>Failure to uphold Article 11 of ICESCR is clearly evidenced in the development of experiment sites, like Bobbin Mill, which were used to forcibly assimilate Scotland’s Gypsy Travellers through the provision of intentionally substandard accommodation paid for by the State.</w:t>
      </w:r>
    </w:p>
    <w:p w14:paraId="1D83CD45" w14:textId="77777777" w:rsidR="0067252C" w:rsidRPr="0067252C" w:rsidRDefault="0067252C" w:rsidP="0067252C">
      <w:pPr>
        <w:pStyle w:val="ListParagraph"/>
      </w:pPr>
      <w:r w:rsidRPr="0067252C">
        <w:t xml:space="preserve">Examples of substandard accommodation funded by the State include the use of asbestos wood walls in the Nissen hut at Bobbin Mill. Additionally, there no electricity at Bobbin Mill until the 2010s, this lagged behind improvements made to general housing provision.  </w:t>
      </w:r>
    </w:p>
    <w:p w14:paraId="646698F8" w14:textId="77777777" w:rsidR="0067252C" w:rsidRPr="0067252C" w:rsidRDefault="0067252C" w:rsidP="0067252C">
      <w:pPr>
        <w:pStyle w:val="ListParagraph"/>
      </w:pPr>
      <w:r w:rsidRPr="0067252C">
        <w:t xml:space="preserve">Documentary evidence suggests that Perth County Council knew of the Church of Scotland's attempt to establish a camp at Gothens. </w:t>
      </w:r>
    </w:p>
    <w:p w14:paraId="4F07582E" w14:textId="77777777" w:rsidR="0067252C" w:rsidRPr="0067252C" w:rsidRDefault="0067252C" w:rsidP="0067252C">
      <w:pPr>
        <w:pStyle w:val="ListParagraph"/>
      </w:pPr>
      <w:r w:rsidRPr="0067252C">
        <w:lastRenderedPageBreak/>
        <w:t>Local councils sought to roll out the approach taken at Bobbin Mill in a number of areas across Scotland.</w:t>
      </w:r>
    </w:p>
    <w:p w14:paraId="67CEC0BD" w14:textId="77777777" w:rsidR="0067252C" w:rsidRPr="0067252C" w:rsidRDefault="0067252C" w:rsidP="0067252C">
      <w:pPr>
        <w:pStyle w:val="ListParagraph"/>
      </w:pPr>
      <w:r w:rsidRPr="0067252C">
        <w:t xml:space="preserve">Failure to uphold Article 11 of ICESCR continues today through the provision of substandard accommodation at sites including: Bobbin Mill, Double Dykes and Tarvit Mill as highlighted by the Scottish Housing Regulator. </w:t>
      </w:r>
    </w:p>
    <w:p w14:paraId="01C4FF4F" w14:textId="77777777" w:rsidR="0067252C" w:rsidRPr="0067252C" w:rsidRDefault="0067252C" w:rsidP="0067252C">
      <w:pPr>
        <w:pStyle w:val="ListParagraph"/>
      </w:pPr>
      <w:r w:rsidRPr="0067252C">
        <w:t>The substandard accommodation conditions currently experienced by Scotland's Gypsy Travellers raises further issues in relation to discrimination. The evidence suggests a failure to address issues arising under Article 8 combined with Article 14 of the ECHR, Article 2 of ICESCR and Article 5(e) of CERD. All articles require states to both prohibit and take active steps to eliminate discrimination in rights such as adequate housing.</w:t>
      </w:r>
    </w:p>
    <w:bookmarkEnd w:id="2"/>
    <w:p w14:paraId="7D833BB5" w14:textId="77777777" w:rsidR="0067252C" w:rsidRPr="0067252C" w:rsidRDefault="0067252C" w:rsidP="0067252C">
      <w:pPr>
        <w:pStyle w:val="Heading3"/>
      </w:pPr>
      <w:r w:rsidRPr="0067252C">
        <w:t xml:space="preserve">Right to private and family life </w:t>
      </w:r>
    </w:p>
    <w:p w14:paraId="2E968FEF" w14:textId="77777777" w:rsidR="0067252C" w:rsidRPr="0067252C" w:rsidRDefault="0067252C" w:rsidP="0067252C">
      <w:pPr>
        <w:pStyle w:val="ListParagraph"/>
      </w:pPr>
      <w:r w:rsidRPr="0067252C">
        <w:t xml:space="preserve">By removing children from a family of Gypsy Travellers at Bobbin Mill for no other reason than to ease overcrowding, when alternative measures where available, the State, failed to comply with Article 8 of the ECHR regarding respect for private and family life. </w:t>
      </w:r>
    </w:p>
    <w:p w14:paraId="611C9412" w14:textId="77777777" w:rsidR="0067252C" w:rsidRPr="0067252C" w:rsidRDefault="0067252C" w:rsidP="0067252C">
      <w:pPr>
        <w:pStyle w:val="ListParagraph"/>
      </w:pPr>
      <w:r w:rsidRPr="0067252C">
        <w:t xml:space="preserve">Threats to remove children were used by the State to compel families to assimilate, would, by today's standards amount to an interference with Article 8 of the ECHR. This has caused mental distress and prevented Scotland's Gypsy Travellers from conducting their family life and causing significant and lasting trauma. </w:t>
      </w:r>
    </w:p>
    <w:p w14:paraId="206964FC" w14:textId="77777777" w:rsidR="0067252C" w:rsidRPr="0067252C" w:rsidRDefault="0067252C" w:rsidP="0067252C">
      <w:pPr>
        <w:pStyle w:val="ListParagraph"/>
      </w:pPr>
      <w:r w:rsidRPr="0067252C">
        <w:t xml:space="preserve">Removing children and placing them into care homes, including Kippen House, raises human rights issues in relation to Article 9 of the UNCRC. </w:t>
      </w:r>
    </w:p>
    <w:p w14:paraId="0653E759" w14:textId="4B2BA763" w:rsidR="0067252C" w:rsidRPr="0067252C" w:rsidRDefault="0067252C" w:rsidP="0067252C">
      <w:pPr>
        <w:pStyle w:val="Heading3"/>
      </w:pPr>
      <w:r w:rsidRPr="0067252C">
        <w:t>Rights to health, education and employment</w:t>
      </w:r>
    </w:p>
    <w:p w14:paraId="5BDF05F7" w14:textId="77777777" w:rsidR="0067252C" w:rsidRPr="0067252C" w:rsidRDefault="0067252C" w:rsidP="0067252C">
      <w:pPr>
        <w:pStyle w:val="ListParagraph"/>
      </w:pPr>
      <w:r w:rsidRPr="0067252C">
        <w:t xml:space="preserve">By failing to comply with Article 11 of ICESCR by forcing Scotland’s Gypsy Travellers to assimilate in substandard accommodation the State has put rights to health, education and employment of the victims of the Tinker Experiment at risk. </w:t>
      </w:r>
    </w:p>
    <w:p w14:paraId="15F4BD42" w14:textId="77777777" w:rsidR="0067252C" w:rsidRPr="0067252C" w:rsidRDefault="0067252C" w:rsidP="0067252C">
      <w:pPr>
        <w:pStyle w:val="Heading3"/>
      </w:pPr>
      <w:r w:rsidRPr="0067252C">
        <w:t xml:space="preserve">Rights to cultural life </w:t>
      </w:r>
    </w:p>
    <w:p w14:paraId="690D4F5C" w14:textId="77777777" w:rsidR="0067252C" w:rsidRPr="0067252C" w:rsidRDefault="0067252C" w:rsidP="0067252C">
      <w:pPr>
        <w:pStyle w:val="ListParagraph"/>
      </w:pPr>
      <w:r w:rsidRPr="0067252C">
        <w:lastRenderedPageBreak/>
        <w:t xml:space="preserve">By enacting legislation and policy which forced Scotland's Gypsy Travellers to accept council housing provided by local authorities in areas where Gypsy Travellers faced hostility, the State has failed to comply with the right to cultural life protected by Article 15 of ICESCR and to provide culturally appropriate accommodation as protected by Article 11 of ICESCR. </w:t>
      </w:r>
    </w:p>
    <w:p w14:paraId="3EAA7A14" w14:textId="77777777" w:rsidR="0067252C" w:rsidRPr="0067252C" w:rsidRDefault="0067252C" w:rsidP="0067252C">
      <w:pPr>
        <w:pStyle w:val="ListParagraph"/>
      </w:pPr>
      <w:r w:rsidRPr="0067252C">
        <w:t xml:space="preserve">By failing to address legal barriers to reinstate the use of stopping places, for example via the Land Reform (Scotland) Act in 2003 and again in 2016, the State has failed to meet its duty under ICESCR to progressively increase access to cultural practices. </w:t>
      </w:r>
    </w:p>
    <w:p w14:paraId="2D1A1C32" w14:textId="77777777" w:rsidR="0067252C" w:rsidRPr="0067252C" w:rsidRDefault="0067252C" w:rsidP="0067252C">
      <w:pPr>
        <w:pStyle w:val="ListParagraph"/>
      </w:pPr>
      <w:r w:rsidRPr="0067252C">
        <w:t xml:space="preserve">The State has failed to protect and contributed to the active destruction of Scotland's Gypsy Traveller culture. </w:t>
      </w:r>
    </w:p>
    <w:p w14:paraId="5DB87637" w14:textId="77777777" w:rsidR="0067252C" w:rsidRPr="0067252C" w:rsidRDefault="0067252C" w:rsidP="0067252C">
      <w:pPr>
        <w:pStyle w:val="Heading3"/>
      </w:pPr>
      <w:r w:rsidRPr="0067252C">
        <w:t xml:space="preserve">Redress and reparations </w:t>
      </w:r>
    </w:p>
    <w:p w14:paraId="089C03D6" w14:textId="77777777" w:rsidR="0067252C" w:rsidRPr="0067252C" w:rsidRDefault="0067252C" w:rsidP="0067252C">
      <w:pPr>
        <w:pStyle w:val="ListParagraph"/>
      </w:pPr>
      <w:r w:rsidRPr="0067252C">
        <w:t xml:space="preserve">Victims of the Tinker Experiment have requested redress including apologies and reparations including compensation, cultural investment and improvements in accommodation. </w:t>
      </w:r>
    </w:p>
    <w:p w14:paraId="644BD2C6" w14:textId="77777777" w:rsidR="0067252C" w:rsidRPr="0067252C" w:rsidRDefault="0067252C" w:rsidP="0067252C">
      <w:pPr>
        <w:pStyle w:val="ListParagraph"/>
      </w:pPr>
      <w:r w:rsidRPr="0067252C">
        <w:t>The Scottish Government apology in June 2025 does not meet human rights standards adopted by the UN General Assembly in relation to remedy and reparation for victims of human rights violations.</w:t>
      </w:r>
    </w:p>
    <w:p w14:paraId="4BE1F24F" w14:textId="77777777" w:rsidR="0067252C" w:rsidRPr="0067252C" w:rsidRDefault="0067252C" w:rsidP="0067252C">
      <w:pPr>
        <w:pStyle w:val="ListParagraph"/>
      </w:pPr>
      <w:r w:rsidRPr="0067252C">
        <w:t>Evidence suggests significant differences approach from duty bearers to providing redress in the form of apologies, to different groups of victims in Scotland.</w:t>
      </w:r>
    </w:p>
    <w:p w14:paraId="3619AE9F" w14:textId="77777777" w:rsidR="0067252C" w:rsidRPr="0067252C" w:rsidRDefault="0067252C" w:rsidP="0067252C">
      <w:pPr>
        <w:pStyle w:val="ListParagraph"/>
      </w:pPr>
      <w:r w:rsidRPr="0067252C">
        <w:t xml:space="preserve">A transformative reparations approach which demonstrates alignment with international human rights standards should be used to address the harms of the Tinker Experiment. </w:t>
      </w:r>
    </w:p>
    <w:p w14:paraId="124CCF26" w14:textId="77777777" w:rsidR="0067252C" w:rsidRPr="0067252C" w:rsidRDefault="0067252C" w:rsidP="0067252C">
      <w:pPr>
        <w:pStyle w:val="Heading2"/>
      </w:pPr>
      <w:r w:rsidRPr="0067252C">
        <w:t>Recommendations</w:t>
      </w:r>
    </w:p>
    <w:p w14:paraId="27B39FED" w14:textId="77777777" w:rsidR="0067252C" w:rsidRPr="0067252C" w:rsidRDefault="0067252C" w:rsidP="0067252C">
      <w:r w:rsidRPr="0067252C">
        <w:t>The SHRC is clear that State action to address the past and ongoing harms of the Tinker Experiment must include meaningful participation and leadership of victims of the experiment and Scotland's Gypsy Travellers across all elements of reparations. This should be done in conjunction with reviewing legal standards of the past, recognising cultural losses and rejecting state-centric and assimilative practices. The following recommendations should be taken forward at pace.</w:t>
      </w:r>
    </w:p>
    <w:p w14:paraId="310B06A3" w14:textId="7C97AE84" w:rsidR="0067252C" w:rsidRPr="0067252C" w:rsidRDefault="0067252C" w:rsidP="0067252C">
      <w:pPr>
        <w:pStyle w:val="Heading3"/>
      </w:pPr>
      <w:r w:rsidRPr="0067252C">
        <w:lastRenderedPageBreak/>
        <w:t xml:space="preserve">Overarching recommendation: State adoption of a transformative reparations approach </w:t>
      </w:r>
    </w:p>
    <w:p w14:paraId="0F0A7642" w14:textId="77777777" w:rsidR="0067252C" w:rsidRPr="0067252C" w:rsidRDefault="0067252C" w:rsidP="0067252C">
      <w:r w:rsidRPr="0067252C">
        <w:t xml:space="preserve">We recommend that duty bearers adopt a transformative reparations approach in response to the Tinker Experiment. </w:t>
      </w:r>
    </w:p>
    <w:p w14:paraId="1F6769B1" w14:textId="77777777" w:rsidR="0067252C" w:rsidRPr="0067252C" w:rsidRDefault="0067252C" w:rsidP="0067252C">
      <w:r w:rsidRPr="0067252C">
        <w:t>A transformative reparations approach consists of four key elements including:</w:t>
      </w:r>
    </w:p>
    <w:p w14:paraId="5D4E691D" w14:textId="77777777" w:rsidR="0067252C" w:rsidRPr="0067252C" w:rsidRDefault="0067252C" w:rsidP="0067252C">
      <w:pPr>
        <w:pStyle w:val="ListParagraph"/>
      </w:pPr>
      <w:r w:rsidRPr="0067252C">
        <w:t>Participation and leadership of victims in the design and development of their own reparations.</w:t>
      </w:r>
    </w:p>
    <w:p w14:paraId="2423781F" w14:textId="77777777" w:rsidR="0067252C" w:rsidRPr="0067252C" w:rsidRDefault="0067252C" w:rsidP="0067252C">
      <w:pPr>
        <w:pStyle w:val="ListParagraph"/>
      </w:pPr>
      <w:r w:rsidRPr="0067252C">
        <w:t>Critiquing and reviewing legal standards of the past. Duty bearers should critique and review legislation which continues perpetuate harm done to victims.</w:t>
      </w:r>
    </w:p>
    <w:p w14:paraId="7FC3F707" w14:textId="77777777" w:rsidR="0067252C" w:rsidRPr="0067252C" w:rsidRDefault="0067252C" w:rsidP="0067252C">
      <w:pPr>
        <w:pStyle w:val="ListParagraph"/>
      </w:pPr>
      <w:r w:rsidRPr="0067252C">
        <w:t>Recognition of the cultural harms and losses including reparations for: experiences of substandard accommodation, actual and threatened child removal, forced displacement as well as measures to establish adequate culturally appropriate housing for the victims and their descendants.</w:t>
      </w:r>
    </w:p>
    <w:p w14:paraId="1BE8C979" w14:textId="77777777" w:rsidR="0067252C" w:rsidRPr="0067252C" w:rsidRDefault="0067252C" w:rsidP="0067252C">
      <w:pPr>
        <w:pStyle w:val="ListParagraph"/>
      </w:pPr>
      <w:r w:rsidRPr="0067252C">
        <w:t xml:space="preserve">Rejection of State-centric and assimilationist approaches in the delivery of reparations by ensuring that the process of providing reparations does not inflict further harm and trauma on affected people by reinforcing assimilationist norms or focusing on the needs of the State. This can be achieved primarily through a reparations scheme that is both independently operated and monitored by an independent oversight mechanism. </w:t>
      </w:r>
    </w:p>
    <w:p w14:paraId="4C85D93C" w14:textId="77777777" w:rsidR="0067252C" w:rsidRPr="0067252C" w:rsidRDefault="0067252C" w:rsidP="0067252C">
      <w:r w:rsidRPr="0067252C">
        <w:t xml:space="preserve">By adopting a transformative reparations approach, the State should be able to deliver against the following recommendations for victims of the Tinker Experiment: </w:t>
      </w:r>
    </w:p>
    <w:p w14:paraId="45EBA811" w14:textId="77777777" w:rsidR="0067252C" w:rsidRPr="0067252C" w:rsidRDefault="0067252C" w:rsidP="0067252C">
      <w:pPr>
        <w:pStyle w:val="ListParagraph"/>
        <w:numPr>
          <w:ilvl w:val="0"/>
          <w:numId w:val="45"/>
        </w:numPr>
      </w:pPr>
      <w:r w:rsidRPr="0067252C">
        <w:t xml:space="preserve">Compensation </w:t>
      </w:r>
    </w:p>
    <w:p w14:paraId="7C9B62C6" w14:textId="77777777" w:rsidR="0067252C" w:rsidRPr="0067252C" w:rsidRDefault="0067252C" w:rsidP="0067252C">
      <w:pPr>
        <w:pStyle w:val="Bullet1"/>
      </w:pPr>
      <w:r w:rsidRPr="0067252C">
        <w:t>Financial compensation to victims and families</w:t>
      </w:r>
    </w:p>
    <w:p w14:paraId="70293485" w14:textId="77777777" w:rsidR="0067252C" w:rsidRPr="0067252C" w:rsidRDefault="0067252C" w:rsidP="0067252C">
      <w:pPr>
        <w:pStyle w:val="ListParagraph"/>
      </w:pPr>
      <w:r w:rsidRPr="0067252C">
        <w:t xml:space="preserve"> Rehabilitation</w:t>
      </w:r>
    </w:p>
    <w:p w14:paraId="77D0D669" w14:textId="77777777" w:rsidR="0067252C" w:rsidRPr="0067252C" w:rsidRDefault="0067252C" w:rsidP="0067252C">
      <w:pPr>
        <w:pStyle w:val="Bullet1"/>
      </w:pPr>
      <w:r w:rsidRPr="0067252C">
        <w:t>Culturally appropriate review of, and steps to ensure adequacy of, accommodation provision including Gypsy Traveller sites</w:t>
      </w:r>
    </w:p>
    <w:p w14:paraId="21BE8357" w14:textId="77777777" w:rsidR="0067252C" w:rsidRPr="0067252C" w:rsidRDefault="0067252C" w:rsidP="0067252C">
      <w:pPr>
        <w:pStyle w:val="Bullet1"/>
      </w:pPr>
      <w:r w:rsidRPr="0067252C">
        <w:t>Investment in community empowerment, self-advocacy and cultural development</w:t>
      </w:r>
    </w:p>
    <w:p w14:paraId="24C16A90" w14:textId="77777777" w:rsidR="0067252C" w:rsidRPr="0067252C" w:rsidRDefault="0067252C" w:rsidP="0067252C">
      <w:pPr>
        <w:pStyle w:val="ListParagraph"/>
      </w:pPr>
      <w:r w:rsidRPr="0067252C">
        <w:lastRenderedPageBreak/>
        <w:t xml:space="preserve">Satisfaction </w:t>
      </w:r>
    </w:p>
    <w:p w14:paraId="2B21D481" w14:textId="77777777" w:rsidR="0067252C" w:rsidRPr="0067252C" w:rsidRDefault="0067252C" w:rsidP="0067252C">
      <w:pPr>
        <w:pStyle w:val="Bullet1"/>
      </w:pPr>
      <w:r w:rsidRPr="0067252C">
        <w:t>Further Scottish Government apologies</w:t>
      </w:r>
    </w:p>
    <w:p w14:paraId="4BE22990" w14:textId="77777777" w:rsidR="0067252C" w:rsidRPr="0067252C" w:rsidRDefault="0067252C" w:rsidP="0067252C">
      <w:pPr>
        <w:pStyle w:val="Bullet1"/>
      </w:pPr>
      <w:r w:rsidRPr="0067252C">
        <w:t>Truth recovery on harms to children</w:t>
      </w:r>
    </w:p>
    <w:p w14:paraId="3E6144D7" w14:textId="77777777" w:rsidR="0067252C" w:rsidRPr="0067252C" w:rsidRDefault="0067252C" w:rsidP="0067252C">
      <w:pPr>
        <w:pStyle w:val="ListParagraph"/>
      </w:pPr>
      <w:r w:rsidRPr="0067252C">
        <w:t>Guarantees of non-repetition</w:t>
      </w:r>
    </w:p>
    <w:p w14:paraId="349AC98B" w14:textId="77777777" w:rsidR="0067252C" w:rsidRPr="0067252C" w:rsidRDefault="0067252C" w:rsidP="0067252C">
      <w:pPr>
        <w:pStyle w:val="Bullet1"/>
      </w:pPr>
      <w:r w:rsidRPr="0067252C">
        <w:t>A review of current legislation and policy</w:t>
      </w:r>
    </w:p>
    <w:p w14:paraId="658D9007" w14:textId="5F8DA5B9" w:rsidR="008971DE" w:rsidRDefault="0067252C" w:rsidP="0067252C">
      <w:pPr>
        <w:pStyle w:val="Bullet1"/>
      </w:pPr>
      <w:r w:rsidRPr="0067252C">
        <w:t>Ensuring equality in access to remedy</w:t>
      </w:r>
    </w:p>
    <w:p w14:paraId="74BE28B1" w14:textId="77777777" w:rsidR="0067252C" w:rsidRPr="0067252C" w:rsidRDefault="0067252C" w:rsidP="0067252C">
      <w:pPr>
        <w:pStyle w:val="Bullet1"/>
        <w:numPr>
          <w:ilvl w:val="0"/>
          <w:numId w:val="0"/>
        </w:numPr>
      </w:pPr>
    </w:p>
    <w:sectPr w:rsidR="0067252C" w:rsidRPr="0067252C" w:rsidSect="00753FC8">
      <w:headerReference w:type="even" r:id="rId8"/>
      <w:headerReference w:type="default" r:id="rId9"/>
      <w:footerReference w:type="default" r:id="rId10"/>
      <w:headerReference w:type="first" r:id="rId11"/>
      <w:footerReference w:type="first" r:id="rId12"/>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DD04" w14:textId="77777777" w:rsidR="0067252C" w:rsidRDefault="0067252C" w:rsidP="00813960">
      <w:r>
        <w:separator/>
      </w:r>
    </w:p>
    <w:p w14:paraId="4BB8B3E6" w14:textId="77777777" w:rsidR="0067252C" w:rsidRDefault="0067252C" w:rsidP="00813960"/>
  </w:endnote>
  <w:endnote w:type="continuationSeparator" w:id="0">
    <w:p w14:paraId="610A6F01" w14:textId="77777777" w:rsidR="0067252C" w:rsidRDefault="0067252C" w:rsidP="00813960">
      <w:r>
        <w:continuationSeparator/>
      </w:r>
    </w:p>
    <w:p w14:paraId="68516A5A" w14:textId="77777777" w:rsidR="0067252C" w:rsidRDefault="0067252C" w:rsidP="00813960"/>
  </w:endnote>
  <w:endnote w:type="continuationNotice" w:id="1">
    <w:p w14:paraId="7AE614EA" w14:textId="77777777" w:rsidR="0067252C" w:rsidRDefault="0067252C" w:rsidP="00813960"/>
    <w:p w14:paraId="67BD4A45" w14:textId="77777777" w:rsidR="0067252C" w:rsidRDefault="0067252C" w:rsidP="00813960"/>
  </w:endnote>
  <w:endnote w:id="2">
    <w:p w14:paraId="7E3F7CA1" w14:textId="77777777" w:rsidR="0067252C" w:rsidRDefault="0067252C" w:rsidP="0067252C">
      <w:pPr>
        <w:pStyle w:val="EndnoteText"/>
        <w:rPr>
          <w:lang w:eastAsia="en-GB"/>
        </w:rPr>
      </w:pPr>
      <w:r>
        <w:rPr>
          <w:rStyle w:val="EndnoteReference"/>
        </w:rPr>
        <w:endnoteRef/>
      </w:r>
      <w:r>
        <w:t xml:space="preserve"> </w:t>
      </w:r>
      <w:r w:rsidRPr="003E343E">
        <w:rPr>
          <w:lang w:eastAsia="en-GB"/>
        </w:rPr>
        <w:t xml:space="preserve">The Scottish Parliament (2010). </w:t>
      </w:r>
      <w:hyperlink r:id="rId1" w:history="1">
        <w:r w:rsidRPr="005742CF">
          <w:rPr>
            <w:rStyle w:val="Hyperlink"/>
            <w:lang w:eastAsia="en-GB"/>
          </w:rPr>
          <w:t>The Public Petitions Committee</w:t>
        </w:r>
      </w:hyperlink>
      <w:r>
        <w:t>.</w:t>
      </w:r>
      <w:r w:rsidRPr="003E343E">
        <w:rPr>
          <w:lang w:eastAsia="en-GB"/>
        </w:rPr>
        <w:t xml:space="preserve"> </w:t>
      </w:r>
    </w:p>
  </w:endnote>
  <w:endnote w:id="3">
    <w:p w14:paraId="649D330F" w14:textId="77777777" w:rsidR="0067252C" w:rsidRDefault="0067252C" w:rsidP="0067252C">
      <w:pPr>
        <w:pStyle w:val="EndnoteText"/>
      </w:pPr>
      <w:r>
        <w:rPr>
          <w:rStyle w:val="EndnoteReference"/>
        </w:rPr>
        <w:endnoteRef/>
      </w:r>
      <w:r>
        <w:t xml:space="preserve"> Scottish Human Rights Commission, </w:t>
      </w:r>
      <w:hyperlink r:id="rId2" w:history="1">
        <w:r w:rsidRPr="004200FB">
          <w:rPr>
            <w:rStyle w:val="Hyperlink"/>
          </w:rPr>
          <w:t>Participation Strategy 2024-28</w:t>
        </w:r>
      </w:hyperlink>
    </w:p>
  </w:endnote>
  <w:endnote w:id="4">
    <w:p w14:paraId="7DBCA8FA" w14:textId="77777777" w:rsidR="0067252C" w:rsidRDefault="0067252C" w:rsidP="0067252C">
      <w:pPr>
        <w:pStyle w:val="EndnoteText"/>
      </w:pPr>
      <w:r>
        <w:rPr>
          <w:rStyle w:val="EndnoteReference"/>
        </w:rPr>
        <w:endnoteRef/>
      </w:r>
      <w:r>
        <w:t xml:space="preserve"> See: </w:t>
      </w:r>
      <w:hyperlink r:id="rId3" w:history="1">
        <w:r w:rsidRPr="006A3B98">
          <w:rPr>
            <w:rStyle w:val="Hyperlink"/>
          </w:rPr>
          <w:t>Victim Statement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w:panose1 w:val="02000606040000020004"/>
    <w:charset w:val="00"/>
    <w:family w:val="auto"/>
    <w:pitch w:val="variable"/>
    <w:sig w:usb0="20000007" w:usb1="00000000" w:usb2="00000000" w:usb3="00000000" w:csb0="0000011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E6E1" w14:textId="77777777" w:rsidR="00734BE1" w:rsidRPr="000C45D7" w:rsidRDefault="003D0B89" w:rsidP="000C45D7">
    <w:pPr>
      <w:pStyle w:val="Footer"/>
    </w:pPr>
    <w:r w:rsidRPr="0061605D">
      <w:rPr>
        <w:noProof/>
      </w:rPr>
      <w:drawing>
        <wp:anchor distT="0" distB="0" distL="114300" distR="114300" simplePos="0" relativeHeight="251718656" behindDoc="0" locked="0" layoutInCell="1" allowOverlap="1" wp14:anchorId="35FEA120" wp14:editId="04782072">
          <wp:simplePos x="0" y="0"/>
          <wp:positionH relativeFrom="rightMargin">
            <wp:posOffset>-41275</wp:posOffset>
          </wp:positionH>
          <wp:positionV relativeFrom="paragraph">
            <wp:posOffset>64770</wp:posOffset>
          </wp:positionV>
          <wp:extent cx="319405" cy="319405"/>
          <wp:effectExtent l="0" t="0" r="4445" b="4445"/>
          <wp:wrapNone/>
          <wp:docPr id="1230503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6608" behindDoc="0" locked="0" layoutInCell="1" allowOverlap="1" wp14:anchorId="0F816466" wp14:editId="71F54C42">
          <wp:simplePos x="0" y="0"/>
          <wp:positionH relativeFrom="margin">
            <wp:posOffset>5412105</wp:posOffset>
          </wp:positionH>
          <wp:positionV relativeFrom="paragraph">
            <wp:posOffset>104140</wp:posOffset>
          </wp:positionV>
          <wp:extent cx="333375" cy="250190"/>
          <wp:effectExtent l="0" t="0" r="9525" b="0"/>
          <wp:wrapNone/>
          <wp:docPr id="1220214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7632" behindDoc="0" locked="0" layoutInCell="1" allowOverlap="1" wp14:anchorId="6A7B6A73" wp14:editId="1BAF9BF7">
          <wp:simplePos x="0" y="0"/>
          <wp:positionH relativeFrom="column">
            <wp:posOffset>5229225</wp:posOffset>
          </wp:positionH>
          <wp:positionV relativeFrom="paragraph">
            <wp:posOffset>140970</wp:posOffset>
          </wp:positionV>
          <wp:extent cx="184150" cy="184150"/>
          <wp:effectExtent l="0" t="0" r="6350" b="6350"/>
          <wp:wrapNone/>
          <wp:docPr id="20753545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5584" behindDoc="0" locked="0" layoutInCell="1" allowOverlap="1" wp14:anchorId="3AFF1292" wp14:editId="66783B96">
          <wp:simplePos x="0" y="0"/>
          <wp:positionH relativeFrom="column">
            <wp:posOffset>4940300</wp:posOffset>
          </wp:positionH>
          <wp:positionV relativeFrom="paragraph">
            <wp:posOffset>118110</wp:posOffset>
          </wp:positionV>
          <wp:extent cx="229235" cy="229235"/>
          <wp:effectExtent l="0" t="0" r="0" b="0"/>
          <wp:wrapNone/>
          <wp:docPr id="1516493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9680" behindDoc="0" locked="0" layoutInCell="1" allowOverlap="1" wp14:anchorId="2D92CD73" wp14:editId="73E07417">
          <wp:simplePos x="0" y="0"/>
          <wp:positionH relativeFrom="column">
            <wp:posOffset>4688596</wp:posOffset>
          </wp:positionH>
          <wp:positionV relativeFrom="paragraph">
            <wp:posOffset>125388</wp:posOffset>
          </wp:positionV>
          <wp:extent cx="219075" cy="219075"/>
          <wp:effectExtent l="0" t="0" r="9525" b="9525"/>
          <wp:wrapNone/>
          <wp:docPr id="14379469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960" w:rsidRPr="0061605D">
      <w:rPr>
        <w:noProof/>
      </w:rPr>
      <mc:AlternateContent>
        <mc:Choice Requires="wps">
          <w:drawing>
            <wp:anchor distT="0" distB="0" distL="114300" distR="114300" simplePos="0" relativeHeight="251721728" behindDoc="1" locked="0" layoutInCell="1" allowOverlap="1" wp14:anchorId="04D282DB" wp14:editId="1AF2BFA3">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1932936266" name="Text Box 1932936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615CECD6" w14:textId="77777777" w:rsidR="00813960" w:rsidRDefault="00813960"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D282DB" id="_x0000_t202" coordsize="21600,21600" o:spt="202" path="m,l,21600r21600,l21600,xe">
              <v:stroke joinstyle="miter"/>
              <v:path gradientshapeok="t" o:connecttype="rect"/>
            </v:shapetype>
            <v:shape id="Text Box 1932936266" o:spid="_x0000_s1026" type="#_x0000_t202" alt="&quot;&quot;" style="position:absolute;margin-left:411.8pt;margin-top:-45.3pt;width:463pt;height:44.6pt;z-index:-251594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UFgIAACwEAAAOAAAAZHJzL2Uyb0RvYy54bWysU02P2yAQvVfqf0DcGydpkma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" filled="f" stroked="f" strokeweight=".5pt">
              <v:textbox>
                <w:txbxContent>
                  <w:p w14:paraId="615CECD6" w14:textId="77777777" w:rsidR="00813960" w:rsidRDefault="00813960" w:rsidP="00813960"/>
                </w:txbxContent>
              </v:textbox>
              <w10:wrap type="tight" anchorx="margin"/>
            </v:shape>
          </w:pict>
        </mc:Fallback>
      </mc:AlternateContent>
    </w:r>
    <w:sdt>
      <w:sdtPr>
        <w:id w:val="-147899011"/>
        <w:docPartObj>
          <w:docPartGallery w:val="Page Numbers (Bottom of Page)"/>
          <w:docPartUnique/>
        </w:docPartObj>
      </w:sdtPr>
      <w:sdtEndPr/>
      <w:sdtContent>
        <w:r w:rsidR="00813960" w:rsidRPr="0061605D">
          <w:rPr>
            <w:noProof/>
          </w:rPr>
          <mc:AlternateContent>
            <mc:Choice Requires="wps">
              <w:drawing>
                <wp:anchor distT="0" distB="0" distL="114300" distR="114300" simplePos="0" relativeHeight="251720704" behindDoc="0" locked="0" layoutInCell="1" allowOverlap="1" wp14:anchorId="6DAE8CE8" wp14:editId="5C607F10">
                  <wp:simplePos x="0" y="0"/>
                  <wp:positionH relativeFrom="margin">
                    <wp:posOffset>-280045</wp:posOffset>
                  </wp:positionH>
                  <wp:positionV relativeFrom="paragraph">
                    <wp:posOffset>-102990</wp:posOffset>
                  </wp:positionV>
                  <wp:extent cx="6223000" cy="6350"/>
                  <wp:effectExtent l="0" t="0" r="25400" b="31750"/>
                  <wp:wrapNone/>
                  <wp:docPr id="74618209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64C5C" id="Straight Connector 2" o:spid="_x0000_s1026" alt="&quot;&quot;"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100226710"/>
            <w:docPartObj>
              <w:docPartGallery w:val="Page Numbers (Bottom of Page)"/>
              <w:docPartUnique/>
            </w:docPartObj>
          </w:sdtPr>
          <w:sdtEndPr/>
          <w:sdtContent>
            <w:r w:rsidR="00813960" w:rsidRPr="000C45D7">
              <w:t xml:space="preserve">0131 297 5750 | hello@scottishhumanrights.com | </w:t>
            </w:r>
            <w:hyperlink r:id="rId6" w:history="1">
              <w:r w:rsidR="00813960" w:rsidRPr="000C45D7">
                <w:t>www.scottishhumanrights.com</w:t>
              </w:r>
            </w:hyperlink>
            <w:r w:rsidR="00813960" w:rsidRPr="000C45D7">
              <w:t xml:space="preserve"> | </w:t>
            </w:r>
            <w:r w:rsidR="00813960" w:rsidRPr="000C45D7">
              <w:br/>
              <w:t xml:space="preserve">Scottish Human Rights Commission, Bridgeside House, 99 McDonald Road, Edinburgh, EH7 4NS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1ECA" w14:textId="77777777" w:rsidR="00494B08" w:rsidRPr="000C45D7" w:rsidRDefault="003D0B89" w:rsidP="000C45D7">
    <w:pPr>
      <w:pStyle w:val="Footer"/>
    </w:pPr>
    <w:r w:rsidRPr="0061605D">
      <w:rPr>
        <w:noProof/>
      </w:rPr>
      <w:drawing>
        <wp:anchor distT="0" distB="0" distL="114300" distR="114300" simplePos="0" relativeHeight="251695104" behindDoc="0" locked="0" layoutInCell="1" allowOverlap="1" wp14:anchorId="704DC0BD" wp14:editId="71E80BE4">
          <wp:simplePos x="0" y="0"/>
          <wp:positionH relativeFrom="column">
            <wp:posOffset>4749800</wp:posOffset>
          </wp:positionH>
          <wp:positionV relativeFrom="paragraph">
            <wp:posOffset>113030</wp:posOffset>
          </wp:positionV>
          <wp:extent cx="219075" cy="219075"/>
          <wp:effectExtent l="0" t="0" r="9525" b="9525"/>
          <wp:wrapNone/>
          <wp:docPr id="92045726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1008" behindDoc="0" locked="0" layoutInCell="1" allowOverlap="1" wp14:anchorId="6E1D2622" wp14:editId="6F4CCD60">
          <wp:simplePos x="0" y="0"/>
          <wp:positionH relativeFrom="column">
            <wp:posOffset>5001895</wp:posOffset>
          </wp:positionH>
          <wp:positionV relativeFrom="paragraph">
            <wp:posOffset>106045</wp:posOffset>
          </wp:positionV>
          <wp:extent cx="229235" cy="229235"/>
          <wp:effectExtent l="0" t="0" r="0" b="0"/>
          <wp:wrapNone/>
          <wp:docPr id="8671571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3056" behindDoc="0" locked="0" layoutInCell="1" allowOverlap="1" wp14:anchorId="706FD2C9" wp14:editId="0CF64D0D">
          <wp:simplePos x="0" y="0"/>
          <wp:positionH relativeFrom="column">
            <wp:posOffset>5290820</wp:posOffset>
          </wp:positionH>
          <wp:positionV relativeFrom="paragraph">
            <wp:posOffset>128905</wp:posOffset>
          </wp:positionV>
          <wp:extent cx="184150" cy="184150"/>
          <wp:effectExtent l="0" t="0" r="6350" b="6350"/>
          <wp:wrapNone/>
          <wp:docPr id="10226053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2032" behindDoc="0" locked="0" layoutInCell="1" allowOverlap="1" wp14:anchorId="5FF6B214" wp14:editId="161A989D">
          <wp:simplePos x="0" y="0"/>
          <wp:positionH relativeFrom="margin">
            <wp:posOffset>5473700</wp:posOffset>
          </wp:positionH>
          <wp:positionV relativeFrom="paragraph">
            <wp:posOffset>92075</wp:posOffset>
          </wp:positionV>
          <wp:extent cx="333375" cy="250190"/>
          <wp:effectExtent l="0" t="0" r="9525" b="0"/>
          <wp:wrapNone/>
          <wp:docPr id="15241344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4080" behindDoc="0" locked="0" layoutInCell="1" allowOverlap="1" wp14:anchorId="155D6F5E" wp14:editId="3C8622B2">
          <wp:simplePos x="0" y="0"/>
          <wp:positionH relativeFrom="rightMargin">
            <wp:posOffset>20320</wp:posOffset>
          </wp:positionH>
          <wp:positionV relativeFrom="paragraph">
            <wp:posOffset>52705</wp:posOffset>
          </wp:positionV>
          <wp:extent cx="319405" cy="319405"/>
          <wp:effectExtent l="0" t="0" r="4445" b="4445"/>
          <wp:wrapNone/>
          <wp:docPr id="7531969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D02" w:rsidRPr="0061605D">
      <w:rPr>
        <w:noProof/>
      </w:rPr>
      <mc:AlternateContent>
        <mc:Choice Requires="wps">
          <w:drawing>
            <wp:anchor distT="0" distB="0" distL="114300" distR="114300" simplePos="0" relativeHeight="251705344" behindDoc="1" locked="0" layoutInCell="1" allowOverlap="1" wp14:anchorId="00EDCD53" wp14:editId="3DEAA7A5">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7A672D78" w14:textId="77777777" w:rsidR="001C1D02" w:rsidRDefault="001C1D02"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EDCD53" id="_x0000_t202" coordsize="21600,21600" o:spt="202" path="m,l,21600r21600,l21600,xe">
              <v:stroke joinstyle="miter"/>
              <v:path gradientshapeok="t" o:connecttype="rect"/>
            </v:shapetype>
            <v:shape id="_x0000_s1031" type="#_x0000_t202" alt="&quot;&quot;" style="position:absolute;margin-left:411.8pt;margin-top:-45.3pt;width:463pt;height:44.6pt;z-index:-251611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vh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" filled="f" stroked="f" strokeweight=".5pt">
              <v:textbox>
                <w:txbxContent>
                  <w:p w14:paraId="7A672D78" w14:textId="77777777" w:rsidR="001C1D02" w:rsidRDefault="001C1D02" w:rsidP="00813960"/>
                </w:txbxContent>
              </v:textbox>
              <w10:wrap type="tight" anchorx="margin"/>
            </v:shape>
          </w:pict>
        </mc:Fallback>
      </mc:AlternateContent>
    </w:r>
    <w:sdt>
      <w:sdtPr>
        <w:id w:val="-933972484"/>
        <w:docPartObj>
          <w:docPartGallery w:val="Page Numbers (Bottom of Page)"/>
          <w:docPartUnique/>
        </w:docPartObj>
      </w:sdtPr>
      <w:sdtEndPr/>
      <w:sdtContent>
        <w:r w:rsidR="00494B08" w:rsidRPr="0061605D">
          <w:rPr>
            <w:noProof/>
          </w:rPr>
          <mc:AlternateContent>
            <mc:Choice Requires="wps">
              <w:drawing>
                <wp:anchor distT="0" distB="0" distL="114300" distR="114300" simplePos="0" relativeHeight="251696128" behindDoc="0" locked="0" layoutInCell="1" allowOverlap="1" wp14:anchorId="6E2E2B26" wp14:editId="7C3A3DAC">
                  <wp:simplePos x="0" y="0"/>
                  <wp:positionH relativeFrom="margin">
                    <wp:posOffset>-280045</wp:posOffset>
                  </wp:positionH>
                  <wp:positionV relativeFrom="paragraph">
                    <wp:posOffset>-102990</wp:posOffset>
                  </wp:positionV>
                  <wp:extent cx="6223000" cy="6350"/>
                  <wp:effectExtent l="0" t="0" r="25400" b="31750"/>
                  <wp:wrapNone/>
                  <wp:docPr id="56119651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F51D8" id="Straight Connector 2" o:spid="_x0000_s1026" alt="&quot;&quot;"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993517268"/>
            <w:docPartObj>
              <w:docPartGallery w:val="Page Numbers (Bottom of Page)"/>
              <w:docPartUnique/>
            </w:docPartObj>
          </w:sdtPr>
          <w:sdtEndPr/>
          <w:sdtContent>
            <w:r w:rsidR="00494B08" w:rsidRPr="000C45D7">
              <w:t xml:space="preserve">0131 297 5750 | hello@scottishhumanrights.com | </w:t>
            </w:r>
            <w:hyperlink r:id="rId6" w:history="1">
              <w:r w:rsidR="00813960" w:rsidRPr="000C45D7">
                <w:t>www.scottishhumanrights.com</w:t>
              </w:r>
            </w:hyperlink>
            <w:r w:rsidR="00813960" w:rsidRPr="000C45D7">
              <w:t xml:space="preserve"> | </w:t>
            </w:r>
            <w:r w:rsidR="00813960" w:rsidRPr="000C45D7">
              <w:br/>
            </w:r>
            <w:r w:rsidR="00494B08" w:rsidRPr="000C45D7">
              <w:t xml:space="preserve">Scottish Human Rights Commission, Bridgeside House, 99 McDonald Road, Edinburgh, EH7 4NS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226F" w14:textId="77777777" w:rsidR="0067252C" w:rsidRDefault="0067252C" w:rsidP="00813960">
      <w:r>
        <w:separator/>
      </w:r>
    </w:p>
    <w:p w14:paraId="778CD770" w14:textId="77777777" w:rsidR="0067252C" w:rsidRDefault="0067252C" w:rsidP="00813960"/>
    <w:p w14:paraId="7131CFBB" w14:textId="77777777" w:rsidR="0067252C" w:rsidRDefault="0067252C" w:rsidP="00813960"/>
  </w:footnote>
  <w:footnote w:type="continuationSeparator" w:id="0">
    <w:p w14:paraId="26644A1F" w14:textId="77777777" w:rsidR="0067252C" w:rsidRDefault="0067252C" w:rsidP="00813960">
      <w:r>
        <w:continuationSeparator/>
      </w:r>
    </w:p>
    <w:p w14:paraId="707C3C29" w14:textId="77777777" w:rsidR="0067252C" w:rsidRDefault="0067252C" w:rsidP="00813960"/>
    <w:p w14:paraId="691CD3DF" w14:textId="77777777" w:rsidR="0067252C" w:rsidRDefault="0067252C" w:rsidP="00813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CE1B" w14:textId="4FBF3291" w:rsidR="00E23341" w:rsidRPr="000C45D7" w:rsidRDefault="00E23341" w:rsidP="000C4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161E" w14:textId="7503D6DD" w:rsidR="00734BE1" w:rsidRPr="000C45D7" w:rsidRDefault="00447A08" w:rsidP="000C45D7">
    <w:sdt>
      <w:sdtPr>
        <w:id w:val="-294147499"/>
        <w:docPartObj>
          <w:docPartGallery w:val="Page Numbers (Top of Page)"/>
          <w:docPartUnique/>
        </w:docPartObj>
      </w:sdtPr>
      <w:sdtEndPr/>
      <w:sdtContent>
        <w:r w:rsidR="00180AA6" w:rsidRPr="0061605D">
          <w:rPr>
            <w:noProof/>
          </w:rPr>
          <mc:AlternateContent>
            <mc:Choice Requires="wps">
              <w:drawing>
                <wp:anchor distT="0" distB="0" distL="114300" distR="114300" simplePos="0" relativeHeight="251713536" behindDoc="0" locked="0" layoutInCell="1" allowOverlap="1" wp14:anchorId="401BBC93" wp14:editId="031E3C3B">
                  <wp:simplePos x="0" y="0"/>
                  <wp:positionH relativeFrom="column">
                    <wp:posOffset>-823644</wp:posOffset>
                  </wp:positionH>
                  <wp:positionV relativeFrom="paragraph">
                    <wp:posOffset>-593041</wp:posOffset>
                  </wp:positionV>
                  <wp:extent cx="69850" cy="10826115"/>
                  <wp:effectExtent l="0" t="0" r="6350" b="0"/>
                  <wp:wrapNone/>
                  <wp:docPr id="145056711" name="Rectangle 145056711"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A761C" id="Rectangle 145056711" o:spid="_x0000_s1026" alt="Title: Decorative border" style="position:absolute;margin-left:-64.85pt;margin-top:-46.7pt;width:5.5pt;height:85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" fillcolor="#8baddc" stroked="f" strokeweight="1pt"/>
              </w:pict>
            </mc:Fallback>
          </mc:AlternateContent>
        </w:r>
        <w:r w:rsidR="00180AA6" w:rsidRPr="0061605D">
          <w:rPr>
            <w:noProof/>
          </w:rPr>
          <mc:AlternateContent>
            <mc:Choice Requires="wps">
              <w:drawing>
                <wp:anchor distT="0" distB="0" distL="114300" distR="114300" simplePos="0" relativeHeight="251711488" behindDoc="0" locked="0" layoutInCell="1" allowOverlap="1" wp14:anchorId="39F95B55" wp14:editId="2E3192B1">
                  <wp:simplePos x="0" y="0"/>
                  <wp:positionH relativeFrom="column">
                    <wp:posOffset>-795020</wp:posOffset>
                  </wp:positionH>
                  <wp:positionV relativeFrom="paragraph">
                    <wp:posOffset>-794825</wp:posOffset>
                  </wp:positionV>
                  <wp:extent cx="107950" cy="11162714"/>
                  <wp:effectExtent l="0" t="0" r="6350" b="635"/>
                  <wp:wrapNone/>
                  <wp:docPr id="1544629517" name="Rectangle 1544629517"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68912" id="Rectangle 1544629517" o:spid="_x0000_s1026" alt="Title: Decorative border" style="position:absolute;margin-left:-62.6pt;margin-top:-62.6pt;width:8.5pt;height:87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" fillcolor="#0069b4" stroked="f" strokeweight="1pt"/>
              </w:pict>
            </mc:Fallback>
          </mc:AlternateContent>
        </w:r>
        <w:r w:rsidR="00180AA6" w:rsidRPr="0061605D">
          <w:rPr>
            <w:noProof/>
          </w:rPr>
          <mc:AlternateContent>
            <mc:Choice Requires="wps">
              <w:drawing>
                <wp:anchor distT="0" distB="0" distL="114300" distR="114300" simplePos="0" relativeHeight="251709440" behindDoc="0" locked="0" layoutInCell="1" allowOverlap="1" wp14:anchorId="3ED54D5E" wp14:editId="1805EA6A">
                  <wp:simplePos x="0" y="0"/>
                  <wp:positionH relativeFrom="page">
                    <wp:align>left</wp:align>
                  </wp:positionH>
                  <wp:positionV relativeFrom="paragraph">
                    <wp:posOffset>-457200</wp:posOffset>
                  </wp:positionV>
                  <wp:extent cx="119380" cy="10838815"/>
                  <wp:effectExtent l="0" t="0" r="0" b="635"/>
                  <wp:wrapNone/>
                  <wp:docPr id="940235739" name="Rectangle 94023573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E25A0" id="Rectangle 940235739" o:spid="_x0000_s1026" alt="Title: Decorative border" style="position:absolute;margin-left:0;margin-top:-36pt;width:9.4pt;height:853.45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" fillcolor="#0b1c32" stroked="f" strokeweight="1pt">
                  <w10:wrap anchorx="page"/>
                </v:rect>
              </w:pict>
            </mc:Fallback>
          </mc:AlternateContent>
        </w:r>
        <w:r w:rsidR="002762F7" w:rsidRPr="000C45D7">
          <w:fldChar w:fldCharType="begin"/>
        </w:r>
        <w:r w:rsidR="002762F7" w:rsidRPr="000C45D7">
          <w:instrText>PAGE   \* MERGEFORMAT</w:instrText>
        </w:r>
        <w:r w:rsidR="002762F7" w:rsidRPr="000C45D7">
          <w:fldChar w:fldCharType="separate"/>
        </w:r>
        <w:r w:rsidR="002762F7" w:rsidRPr="000C45D7">
          <w:t>2</w:t>
        </w:r>
        <w:r w:rsidR="002762F7" w:rsidRPr="000C45D7">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89D2" w14:textId="4BDBF127" w:rsidR="004B38F8" w:rsidRPr="000C45D7" w:rsidRDefault="00AF526A" w:rsidP="000C45D7">
    <w:r w:rsidRPr="0061605D">
      <w:rPr>
        <w:noProof/>
      </w:rPr>
      <mc:AlternateContent>
        <mc:Choice Requires="wps">
          <w:drawing>
            <wp:anchor distT="0" distB="0" distL="114300" distR="114300" simplePos="0" relativeHeight="251674624" behindDoc="0" locked="0" layoutInCell="1" allowOverlap="1" wp14:anchorId="3E087EDE" wp14:editId="66F7ED7A">
              <wp:simplePos x="0" y="0"/>
              <wp:positionH relativeFrom="column">
                <wp:posOffset>-815926</wp:posOffset>
              </wp:positionH>
              <wp:positionV relativeFrom="paragraph">
                <wp:posOffset>-921434</wp:posOffset>
              </wp:positionV>
              <wp:extent cx="107950" cy="11162714"/>
              <wp:effectExtent l="0" t="0" r="6350" b="635"/>
              <wp:wrapNone/>
              <wp:docPr id="14" name="Rectangle 14"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B78CF" id="Rectangle 14" o:spid="_x0000_s1026" alt="Title: Decorative border" style="position:absolute;margin-left:-64.25pt;margin-top:-72.55pt;width:8.5pt;height:87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" fillcolor="#0069b4" stroked="f" strokeweight="1pt"/>
          </w:pict>
        </mc:Fallback>
      </mc:AlternateContent>
    </w:r>
    <w:r w:rsidRPr="0061605D">
      <w:rPr>
        <w:noProof/>
      </w:rPr>
      <mc:AlternateContent>
        <mc:Choice Requires="wps">
          <w:drawing>
            <wp:anchor distT="0" distB="0" distL="114300" distR="114300" simplePos="0" relativeHeight="251676672" behindDoc="0" locked="0" layoutInCell="1" allowOverlap="1" wp14:anchorId="505E5190" wp14:editId="4D6BDEE6">
              <wp:simplePos x="0" y="0"/>
              <wp:positionH relativeFrom="column">
                <wp:posOffset>-831850</wp:posOffset>
              </wp:positionH>
              <wp:positionV relativeFrom="paragraph">
                <wp:posOffset>-456565</wp:posOffset>
              </wp:positionV>
              <wp:extent cx="69850" cy="10826115"/>
              <wp:effectExtent l="0" t="0" r="6350" b="0"/>
              <wp:wrapNone/>
              <wp:docPr id="370697079" name="Rectangle 370697079"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7D417" id="Rectangle 370697079" o:spid="_x0000_s1026" alt="Title: Decorative border" style="position:absolute;margin-left:-65.5pt;margin-top:-35.95pt;width:5.5pt;height:85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" fillcolor="#8baddc" stroked="f" strokeweight="1pt"/>
          </w:pict>
        </mc:Fallback>
      </mc:AlternateContent>
    </w:r>
    <w:r w:rsidRPr="0061605D">
      <w:rPr>
        <w:noProof/>
      </w:rPr>
      <mc:AlternateContent>
        <mc:Choice Requires="wps">
          <w:drawing>
            <wp:anchor distT="0" distB="0" distL="114300" distR="114300" simplePos="0" relativeHeight="251673600" behindDoc="0" locked="0" layoutInCell="1" allowOverlap="1" wp14:anchorId="3E52F260" wp14:editId="0F291808">
              <wp:simplePos x="0" y="0"/>
              <wp:positionH relativeFrom="page">
                <wp:align>left</wp:align>
              </wp:positionH>
              <wp:positionV relativeFrom="paragraph">
                <wp:posOffset>-460375</wp:posOffset>
              </wp:positionV>
              <wp:extent cx="119380" cy="10838815"/>
              <wp:effectExtent l="0" t="0" r="0" b="635"/>
              <wp:wrapNone/>
              <wp:docPr id="13" name="Rectangle 13"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768EE" id="Rectangle 13" o:spid="_x0000_s1026" alt="Title: Decorative border" style="position:absolute;margin-left:0;margin-top:-36.25pt;width:9.4pt;height:853.4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" fillcolor="#0b1c32" stroked="f" strokeweight="1pt">
              <w10:wrap anchorx="page"/>
            </v:rect>
          </w:pict>
        </mc:Fallback>
      </mc:AlternateContent>
    </w:r>
    <w:r w:rsidR="00DB56F0" w:rsidRPr="0061605D">
      <w:rPr>
        <w:noProof/>
      </w:rPr>
      <mc:AlternateContent>
        <mc:Choice Requires="wpg">
          <w:drawing>
            <wp:anchor distT="0" distB="0" distL="114300" distR="114300" simplePos="0" relativeHeight="251662336" behindDoc="0" locked="0" layoutInCell="1" allowOverlap="1" wp14:anchorId="368BA580" wp14:editId="2658FAFD">
              <wp:simplePos x="0" y="0"/>
              <wp:positionH relativeFrom="column">
                <wp:posOffset>-742950</wp:posOffset>
              </wp:positionH>
              <wp:positionV relativeFrom="paragraph">
                <wp:posOffset>-228600</wp:posOffset>
              </wp:positionV>
              <wp:extent cx="7419975" cy="1206500"/>
              <wp:effectExtent l="0" t="0" r="952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19975" cy="1206500"/>
                        <a:chOff x="0" y="0"/>
                        <a:chExt cx="7419975" cy="1206500"/>
                      </a:xfrm>
                    </wpg:grpSpPr>
                    <wps:wsp>
                      <wps:cNvPr id="5" name="Rectangle 5" title="Decorative border"/>
                      <wps:cNvSpPr/>
                      <wps:spPr>
                        <a:xfrm>
                          <a:off x="0" y="0"/>
                          <a:ext cx="7419975" cy="1206500"/>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A0D616" w14:textId="77777777" w:rsidR="004B38F8" w:rsidRDefault="004B38F8" w:rsidP="008139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SHRC Scottish Human Rights Commiss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73100" y="107950"/>
                          <a:ext cx="1460500" cy="1032510"/>
                        </a:xfrm>
                        <a:prstGeom prst="rect">
                          <a:avLst/>
                        </a:prstGeom>
                        <a:noFill/>
                      </pic:spPr>
                    </pic:pic>
                  </wpg:wgp>
                </a:graphicData>
              </a:graphic>
            </wp:anchor>
          </w:drawing>
        </mc:Choice>
        <mc:Fallback>
          <w:pict>
            <v:group w14:anchorId="368BA580" id="Group 1" o:spid="_x0000_s1027" alt="&quot;&quot;" style="position:absolute;margin-left:-58.5pt;margin-top:-18pt;width:584.25pt;height:95pt;z-index:251662336" coordsize="74199,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">
              <v:rect id="Rectangle 5" o:spid="_x0000_s1028" style="position:absolute;width:74199;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" fillcolor="#0b1c32" stroked="f" strokeweight="1pt">
                <v:textbox>
                  <w:txbxContent>
                    <w:p w14:paraId="4AA0D616" w14:textId="77777777" w:rsidR="004B38F8" w:rsidRDefault="004B38F8" w:rsidP="0081396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HRC Scottish Human Rights Commission" style="position:absolute;left:6731;top:1079;width:1460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">
                <v:imagedata r:id="rId2" o:title="SHRC Scottish Human Rights Commission"/>
              </v:shape>
            </v:group>
          </w:pict>
        </mc:Fallback>
      </mc:AlternateContent>
    </w:r>
  </w:p>
  <w:p w14:paraId="7CFD486D" w14:textId="77777777" w:rsidR="00734BE1" w:rsidRPr="000C45D7" w:rsidRDefault="00AE5DDE" w:rsidP="000C45D7">
    <w:r w:rsidRPr="0061605D">
      <w:rPr>
        <w:noProof/>
      </w:rPr>
      <mc:AlternateContent>
        <mc:Choice Requires="wps">
          <w:drawing>
            <wp:anchor distT="45720" distB="45720" distL="114300" distR="114300" simplePos="0" relativeHeight="251669504" behindDoc="0" locked="0" layoutInCell="1" allowOverlap="1" wp14:anchorId="3EA18D6F" wp14:editId="56BBA6C7">
              <wp:simplePos x="0" y="0"/>
              <wp:positionH relativeFrom="margin">
                <wp:align>left</wp:align>
              </wp:positionH>
              <wp:positionV relativeFrom="paragraph">
                <wp:posOffset>381000</wp:posOffset>
              </wp:positionV>
              <wp:extent cx="5740400" cy="18097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81070"/>
                      </a:xfrm>
                      <a:prstGeom prst="rect">
                        <a:avLst/>
                      </a:prstGeom>
                      <a:noFill/>
                      <a:ln w="9525">
                        <a:noFill/>
                        <a:miter lim="800000"/>
                        <a:headEnd/>
                        <a:tailEnd/>
                      </a:ln>
                    </wps:spPr>
                    <wps:txbx>
                      <w:txbxContent>
                        <w:p w14:paraId="57102591" w14:textId="77777777" w:rsidR="00AE5DDE" w:rsidRDefault="00AE5DDE" w:rsidP="008139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18D6F" id="_x0000_t202" coordsize="21600,21600" o:spt="202" path="m,l,21600r21600,l21600,xe">
              <v:stroke joinstyle="miter"/>
              <v:path gradientshapeok="t" o:connecttype="rect"/>
            </v:shapetype>
            <v:shape id="Text Box 2" o:spid="_x0000_s1030" type="#_x0000_t202" alt="&quot;&quot;" style="position:absolute;margin-left:0;margin-top:30pt;width:452pt;height:14.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" filled="f" stroked="f">
              <v:textbox>
                <w:txbxContent>
                  <w:p w14:paraId="57102591" w14:textId="77777777" w:rsidR="00AE5DDE" w:rsidRDefault="00AE5DDE" w:rsidP="00813960"/>
                </w:txbxContent>
              </v:textbox>
              <w10:wrap type="square" anchorx="margin"/>
            </v:shape>
          </w:pict>
        </mc:Fallback>
      </mc:AlternateContent>
    </w:r>
    <w:r w:rsidR="004B38F8" w:rsidRPr="0061605D">
      <w:rPr>
        <w:noProof/>
      </w:rPr>
      <mc:AlternateContent>
        <mc:Choice Requires="wps">
          <w:drawing>
            <wp:anchor distT="0" distB="0" distL="114300" distR="114300" simplePos="0" relativeHeight="251658240" behindDoc="0" locked="0" layoutInCell="1" allowOverlap="1" wp14:anchorId="77F9F6C2" wp14:editId="4B7C61D8">
              <wp:simplePos x="0" y="0"/>
              <wp:positionH relativeFrom="column">
                <wp:posOffset>-688340</wp:posOffset>
              </wp:positionH>
              <wp:positionV relativeFrom="paragraph">
                <wp:posOffset>-330200</wp:posOffset>
              </wp:positionV>
              <wp:extent cx="7357110" cy="97790"/>
              <wp:effectExtent l="0" t="0" r="0" b="0"/>
              <wp:wrapNone/>
              <wp:docPr id="3" name="Rectangle 3" descr="Decorative border"/>
              <wp:cNvGraphicFramePr/>
              <a:graphic xmlns:a="http://schemas.openxmlformats.org/drawingml/2006/main">
                <a:graphicData uri="http://schemas.microsoft.com/office/word/2010/wordprocessingShape">
                  <wps:wsp>
                    <wps:cNvSpPr/>
                    <wps:spPr>
                      <a:xfrm>
                        <a:off x="0" y="0"/>
                        <a:ext cx="7357110" cy="9779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14266" id="Rectangle 3" o:spid="_x0000_s1026" alt="Decorative border" style="position:absolute;margin-left:-54.2pt;margin-top:-26pt;width:579.3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" fillcolor="#bdd6ee [1300]" stroked="f" strokeweight="1pt"/>
          </w:pict>
        </mc:Fallback>
      </mc:AlternateContent>
    </w:r>
    <w:r w:rsidR="004B38F8" w:rsidRPr="0061605D">
      <w:rPr>
        <w:noProof/>
      </w:rPr>
      <mc:AlternateContent>
        <mc:Choice Requires="wps">
          <w:drawing>
            <wp:anchor distT="0" distB="0" distL="114300" distR="114300" simplePos="0" relativeHeight="251659264" behindDoc="0" locked="0" layoutInCell="1" allowOverlap="1" wp14:anchorId="7DC26E90" wp14:editId="27187503">
              <wp:simplePos x="0" y="0"/>
              <wp:positionH relativeFrom="column">
                <wp:posOffset>-745589</wp:posOffset>
              </wp:positionH>
              <wp:positionV relativeFrom="paragraph">
                <wp:posOffset>-450167</wp:posOffset>
              </wp:positionV>
              <wp:extent cx="7420415" cy="119575"/>
              <wp:effectExtent l="0" t="0" r="9525" b="0"/>
              <wp:wrapNone/>
              <wp:docPr id="4" name="Rectangle 4" title="Decorative border"/>
              <wp:cNvGraphicFramePr/>
              <a:graphic xmlns:a="http://schemas.openxmlformats.org/drawingml/2006/main">
                <a:graphicData uri="http://schemas.microsoft.com/office/word/2010/wordprocessingShape">
                  <wps:wsp>
                    <wps:cNvSpPr/>
                    <wps:spPr>
                      <a:xfrm>
                        <a:off x="0" y="0"/>
                        <a:ext cx="7420415" cy="119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A7080" id="Rectangle 4" o:spid="_x0000_s1026" alt="Title: Decorative border" style="position:absolute;margin-left:-58.7pt;margin-top:-35.45pt;width:584.3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" fillcolor="#0070c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188FA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15528"/>
    <w:multiLevelType w:val="hybridMultilevel"/>
    <w:tmpl w:val="5A54D7F0"/>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C3AF0"/>
    <w:multiLevelType w:val="hybridMultilevel"/>
    <w:tmpl w:val="81F415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6F49EC"/>
    <w:multiLevelType w:val="hybridMultilevel"/>
    <w:tmpl w:val="661E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B61BB"/>
    <w:multiLevelType w:val="hybridMultilevel"/>
    <w:tmpl w:val="310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D6A06"/>
    <w:multiLevelType w:val="hybridMultilevel"/>
    <w:tmpl w:val="745A0B42"/>
    <w:lvl w:ilvl="0" w:tplc="6D12CFAA">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8044B"/>
    <w:multiLevelType w:val="hybridMultilevel"/>
    <w:tmpl w:val="54968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E45EA"/>
    <w:multiLevelType w:val="hybridMultilevel"/>
    <w:tmpl w:val="B728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E491D"/>
    <w:multiLevelType w:val="hybridMultilevel"/>
    <w:tmpl w:val="1D60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BC48B5"/>
    <w:multiLevelType w:val="hybridMultilevel"/>
    <w:tmpl w:val="F1609BB8"/>
    <w:lvl w:ilvl="0" w:tplc="7FFC6054">
      <w:start w:val="1"/>
      <w:numFmt w:val="bullet"/>
      <w:pStyle w:val="Bullet1"/>
      <w:lvlText w:val=""/>
      <w:lvlJc w:val="left"/>
      <w:pPr>
        <w:ind w:left="2520" w:hanging="360"/>
      </w:pPr>
      <w:rPr>
        <w:rFonts w:ascii="Symbol" w:hAnsi="Symbol" w:hint="default"/>
        <w:b w:val="0"/>
        <w:i w:val="0"/>
        <w:color w:val="000000" w:themeColor="text1"/>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335C0A2D"/>
    <w:multiLevelType w:val="hybridMultilevel"/>
    <w:tmpl w:val="085ACC4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713EF0"/>
    <w:multiLevelType w:val="hybridMultilevel"/>
    <w:tmpl w:val="A05432E4"/>
    <w:lvl w:ilvl="0" w:tplc="CA665A52">
      <w:start w:val="1"/>
      <w:numFmt w:val="bullet"/>
      <w:pStyle w:val="Bullet"/>
      <w:lvlText w:val=""/>
      <w:lvlJc w:val="left"/>
      <w:pPr>
        <w:ind w:left="720" w:hanging="360"/>
      </w:pPr>
      <w:rPr>
        <w:rFonts w:ascii="Symbol" w:hAnsi="Symbo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819C3"/>
    <w:multiLevelType w:val="hybridMultilevel"/>
    <w:tmpl w:val="BEA8A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E3D9E"/>
    <w:multiLevelType w:val="hybridMultilevel"/>
    <w:tmpl w:val="095200A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98429D"/>
    <w:multiLevelType w:val="hybridMultilevel"/>
    <w:tmpl w:val="812C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A570A"/>
    <w:multiLevelType w:val="hybridMultilevel"/>
    <w:tmpl w:val="007290F6"/>
    <w:lvl w:ilvl="0" w:tplc="91C0E816">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30844DC"/>
    <w:multiLevelType w:val="hybridMultilevel"/>
    <w:tmpl w:val="B8AADA2C"/>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B47B6A"/>
    <w:multiLevelType w:val="multilevel"/>
    <w:tmpl w:val="A5089E74"/>
    <w:lvl w:ilvl="0">
      <w:start w:val="5"/>
      <w:numFmt w:val="decimal"/>
      <w:lvlText w:val="%1"/>
      <w:lvlJc w:val="left"/>
      <w:pPr>
        <w:ind w:left="450" w:hanging="450"/>
      </w:pPr>
    </w:lvl>
    <w:lvl w:ilvl="1">
      <w:start w:val="4"/>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868" w:hanging="1440"/>
      </w:pPr>
    </w:lvl>
    <w:lvl w:ilvl="5">
      <w:start w:val="1"/>
      <w:numFmt w:val="decimal"/>
      <w:lvlText w:val="%1.%2.%3.%4.%5.%6"/>
      <w:lvlJc w:val="left"/>
      <w:pPr>
        <w:ind w:left="3585" w:hanging="1800"/>
      </w:pPr>
    </w:lvl>
    <w:lvl w:ilvl="6">
      <w:start w:val="1"/>
      <w:numFmt w:val="decimal"/>
      <w:lvlText w:val="%1.%2.%3.%4.%5.%6.%7"/>
      <w:lvlJc w:val="left"/>
      <w:pPr>
        <w:ind w:left="3942" w:hanging="1800"/>
      </w:pPr>
    </w:lvl>
    <w:lvl w:ilvl="7">
      <w:start w:val="1"/>
      <w:numFmt w:val="decimal"/>
      <w:lvlText w:val="%1.%2.%3.%4.%5.%6.%7.%8"/>
      <w:lvlJc w:val="left"/>
      <w:pPr>
        <w:ind w:left="4659" w:hanging="2160"/>
      </w:pPr>
    </w:lvl>
    <w:lvl w:ilvl="8">
      <w:start w:val="1"/>
      <w:numFmt w:val="decimal"/>
      <w:lvlText w:val="%1.%2.%3.%4.%5.%6.%7.%8.%9"/>
      <w:lvlJc w:val="left"/>
      <w:pPr>
        <w:ind w:left="5376" w:hanging="2520"/>
      </w:pPr>
    </w:lvl>
  </w:abstractNum>
  <w:abstractNum w:abstractNumId="19" w15:restartNumberingAfterBreak="0">
    <w:nsid w:val="49504B87"/>
    <w:multiLevelType w:val="hybridMultilevel"/>
    <w:tmpl w:val="9104DE3A"/>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7758DC"/>
    <w:multiLevelType w:val="multilevel"/>
    <w:tmpl w:val="7C16CD12"/>
    <w:lvl w:ilvl="0">
      <w:start w:val="7"/>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21" w15:restartNumberingAfterBreak="0">
    <w:nsid w:val="4CA1006B"/>
    <w:multiLevelType w:val="hybridMultilevel"/>
    <w:tmpl w:val="2E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E3AB1"/>
    <w:multiLevelType w:val="hybridMultilevel"/>
    <w:tmpl w:val="A1E69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C5303D"/>
    <w:multiLevelType w:val="hybridMultilevel"/>
    <w:tmpl w:val="974E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01F12"/>
    <w:multiLevelType w:val="hybridMultilevel"/>
    <w:tmpl w:val="17F6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62AE1"/>
    <w:multiLevelType w:val="hybridMultilevel"/>
    <w:tmpl w:val="4DAC2670"/>
    <w:lvl w:ilvl="0" w:tplc="197E48C6">
      <w:start w:val="1"/>
      <w:numFmt w:val="bullet"/>
      <w:pStyle w:val="Bullet2"/>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4A13B47"/>
    <w:multiLevelType w:val="hybridMultilevel"/>
    <w:tmpl w:val="7FBC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80C69CC"/>
    <w:multiLevelType w:val="multilevel"/>
    <w:tmpl w:val="FC40DF0E"/>
    <w:lvl w:ilvl="0">
      <w:start w:val="1"/>
      <w:numFmt w:val="decimal"/>
      <w:pStyle w:val="NumHead1"/>
      <w:lvlText w:val="%1."/>
      <w:lvlJc w:val="left"/>
      <w:pPr>
        <w:ind w:left="360" w:hanging="360"/>
      </w:pPr>
    </w:lvl>
    <w:lvl w:ilvl="1">
      <w:start w:val="1"/>
      <w:numFmt w:val="decimal"/>
      <w:pStyle w:val="NumHead2"/>
      <w:lvlText w:val="%1.%2."/>
      <w:lvlJc w:val="left"/>
      <w:pPr>
        <w:ind w:left="792"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8C66BF"/>
    <w:multiLevelType w:val="hybridMultilevel"/>
    <w:tmpl w:val="6402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B96296"/>
    <w:multiLevelType w:val="hybridMultilevel"/>
    <w:tmpl w:val="3C12DC92"/>
    <w:lvl w:ilvl="0" w:tplc="6D76A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6F3F99"/>
    <w:multiLevelType w:val="hybridMultilevel"/>
    <w:tmpl w:val="28C42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DB0E18"/>
    <w:multiLevelType w:val="hybridMultilevel"/>
    <w:tmpl w:val="297E4D7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570EA2"/>
    <w:multiLevelType w:val="hybridMultilevel"/>
    <w:tmpl w:val="17B00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6B0C65"/>
    <w:multiLevelType w:val="hybridMultilevel"/>
    <w:tmpl w:val="26AC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85AD2"/>
    <w:multiLevelType w:val="hybridMultilevel"/>
    <w:tmpl w:val="0810A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51C0226"/>
    <w:multiLevelType w:val="hybridMultilevel"/>
    <w:tmpl w:val="475CF3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6F0B1B"/>
    <w:multiLevelType w:val="hybridMultilevel"/>
    <w:tmpl w:val="86CCDF56"/>
    <w:lvl w:ilvl="0" w:tplc="A584687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73ECF"/>
    <w:multiLevelType w:val="hybridMultilevel"/>
    <w:tmpl w:val="9A0668A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FEB420A"/>
    <w:multiLevelType w:val="multilevel"/>
    <w:tmpl w:val="5DA05A4C"/>
    <w:lvl w:ilvl="0">
      <w:start w:val="9"/>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num w:numId="1" w16cid:durableId="237861117">
    <w:abstractNumId w:val="27"/>
  </w:num>
  <w:num w:numId="2" w16cid:durableId="1754163601">
    <w:abstractNumId w:val="4"/>
  </w:num>
  <w:num w:numId="3" w16cid:durableId="633634104">
    <w:abstractNumId w:val="28"/>
  </w:num>
  <w:num w:numId="4" w16cid:durableId="11962376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132516">
    <w:abstractNumId w:val="38"/>
  </w:num>
  <w:num w:numId="6" w16cid:durableId="647789423">
    <w:abstractNumId w:val="2"/>
  </w:num>
  <w:num w:numId="7" w16cid:durableId="1490250373">
    <w:abstractNumId w:val="36"/>
  </w:num>
  <w:num w:numId="8" w16cid:durableId="335502582">
    <w:abstractNumId w:val="14"/>
  </w:num>
  <w:num w:numId="9" w16cid:durableId="43527020">
    <w:abstractNumId w:val="33"/>
  </w:num>
  <w:num w:numId="10" w16cid:durableId="1718357107">
    <w:abstractNumId w:val="1"/>
  </w:num>
  <w:num w:numId="11" w16cid:durableId="708147511">
    <w:abstractNumId w:val="11"/>
  </w:num>
  <w:num w:numId="12" w16cid:durableId="1121339538">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290558">
    <w:abstractNumId w:val="9"/>
  </w:num>
  <w:num w:numId="14" w16cid:durableId="1856384779">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4004476">
    <w:abstractNumId w:val="17"/>
  </w:num>
  <w:num w:numId="16" w16cid:durableId="29578770">
    <w:abstractNumId w:val="19"/>
  </w:num>
  <w:num w:numId="17" w16cid:durableId="1195802542">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3125547">
    <w:abstractNumId w:val="31"/>
  </w:num>
  <w:num w:numId="19" w16cid:durableId="1693267117">
    <w:abstractNumId w:val="35"/>
  </w:num>
  <w:num w:numId="20" w16cid:durableId="1160581760">
    <w:abstractNumId w:val="3"/>
  </w:num>
  <w:num w:numId="21" w16cid:durableId="126166800">
    <w:abstractNumId w:val="22"/>
  </w:num>
  <w:num w:numId="22" w16cid:durableId="773742205">
    <w:abstractNumId w:val="7"/>
  </w:num>
  <w:num w:numId="23" w16cid:durableId="993532447">
    <w:abstractNumId w:val="13"/>
  </w:num>
  <w:num w:numId="24" w16cid:durableId="59596590">
    <w:abstractNumId w:val="29"/>
  </w:num>
  <w:num w:numId="25" w16cid:durableId="876358535">
    <w:abstractNumId w:val="6"/>
  </w:num>
  <w:num w:numId="26" w16cid:durableId="288751947">
    <w:abstractNumId w:val="30"/>
  </w:num>
  <w:num w:numId="27" w16cid:durableId="1426878808">
    <w:abstractNumId w:val="32"/>
  </w:num>
  <w:num w:numId="28" w16cid:durableId="1582905322">
    <w:abstractNumId w:val="24"/>
  </w:num>
  <w:num w:numId="29" w16cid:durableId="601257241">
    <w:abstractNumId w:val="5"/>
  </w:num>
  <w:num w:numId="30" w16cid:durableId="887107822">
    <w:abstractNumId w:val="21"/>
  </w:num>
  <w:num w:numId="31" w16cid:durableId="542134463">
    <w:abstractNumId w:val="34"/>
  </w:num>
  <w:num w:numId="32" w16cid:durableId="925959415">
    <w:abstractNumId w:val="8"/>
  </w:num>
  <w:num w:numId="33" w16cid:durableId="140465298">
    <w:abstractNumId w:val="15"/>
  </w:num>
  <w:num w:numId="34" w16cid:durableId="1768043051">
    <w:abstractNumId w:val="23"/>
  </w:num>
  <w:num w:numId="35" w16cid:durableId="1951274444">
    <w:abstractNumId w:val="26"/>
  </w:num>
  <w:num w:numId="36" w16cid:durableId="284040475">
    <w:abstractNumId w:val="37"/>
  </w:num>
  <w:num w:numId="37" w16cid:durableId="1631276267">
    <w:abstractNumId w:val="0"/>
  </w:num>
  <w:num w:numId="38" w16cid:durableId="1032457458">
    <w:abstractNumId w:val="16"/>
  </w:num>
  <w:num w:numId="39" w16cid:durableId="1738699806">
    <w:abstractNumId w:val="25"/>
  </w:num>
  <w:num w:numId="40" w16cid:durableId="763234288">
    <w:abstractNumId w:val="12"/>
  </w:num>
  <w:num w:numId="41" w16cid:durableId="2048868480">
    <w:abstractNumId w:val="10"/>
  </w:num>
  <w:num w:numId="42" w16cid:durableId="1777169707">
    <w:abstractNumId w:val="6"/>
    <w:lvlOverride w:ilvl="0">
      <w:startOverride w:val="1"/>
    </w:lvlOverride>
  </w:num>
  <w:num w:numId="43" w16cid:durableId="2104714685">
    <w:abstractNumId w:val="6"/>
    <w:lvlOverride w:ilvl="0">
      <w:startOverride w:val="1"/>
    </w:lvlOverride>
  </w:num>
  <w:num w:numId="44" w16cid:durableId="492113597">
    <w:abstractNumId w:val="6"/>
    <w:lvlOverride w:ilvl="0">
      <w:startOverride w:val="1"/>
    </w:lvlOverride>
  </w:num>
  <w:num w:numId="45" w16cid:durableId="51124374">
    <w:abstractNumId w:val="6"/>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97kKnEw3rME05TSGFUdT4Yo5dLtRskqyKknX2zLLbvBf0dtxiFQcB3/+I2AGU/nGYOSPTlAjDi7Tnz2uPh+kpg==" w:salt="e4iIc+E+aLjEHpywk9RykA=="/>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2C"/>
    <w:rsid w:val="0000488E"/>
    <w:rsid w:val="000243CB"/>
    <w:rsid w:val="0002554C"/>
    <w:rsid w:val="00027C27"/>
    <w:rsid w:val="000303CF"/>
    <w:rsid w:val="000310A1"/>
    <w:rsid w:val="00032DC1"/>
    <w:rsid w:val="000553AE"/>
    <w:rsid w:val="0006247A"/>
    <w:rsid w:val="00064B7C"/>
    <w:rsid w:val="00076879"/>
    <w:rsid w:val="000770EF"/>
    <w:rsid w:val="0007765D"/>
    <w:rsid w:val="000938E4"/>
    <w:rsid w:val="00095D3C"/>
    <w:rsid w:val="000A13FC"/>
    <w:rsid w:val="000B6784"/>
    <w:rsid w:val="000B6CA8"/>
    <w:rsid w:val="000B73CA"/>
    <w:rsid w:val="000C0CF4"/>
    <w:rsid w:val="000C180B"/>
    <w:rsid w:val="000C1F8C"/>
    <w:rsid w:val="000C45D7"/>
    <w:rsid w:val="000D63DF"/>
    <w:rsid w:val="000E44A4"/>
    <w:rsid w:val="000F5348"/>
    <w:rsid w:val="00116182"/>
    <w:rsid w:val="00125E5A"/>
    <w:rsid w:val="00130E57"/>
    <w:rsid w:val="001318EC"/>
    <w:rsid w:val="00140174"/>
    <w:rsid w:val="00175D4D"/>
    <w:rsid w:val="00180AA6"/>
    <w:rsid w:val="00184155"/>
    <w:rsid w:val="001846AC"/>
    <w:rsid w:val="001905B8"/>
    <w:rsid w:val="00194BA1"/>
    <w:rsid w:val="001A3400"/>
    <w:rsid w:val="001A3A69"/>
    <w:rsid w:val="001A575B"/>
    <w:rsid w:val="001B507A"/>
    <w:rsid w:val="001C1D02"/>
    <w:rsid w:val="001C3679"/>
    <w:rsid w:val="001C5AC4"/>
    <w:rsid w:val="001C7ED5"/>
    <w:rsid w:val="001D65CE"/>
    <w:rsid w:val="001E412A"/>
    <w:rsid w:val="001E71AC"/>
    <w:rsid w:val="002222D8"/>
    <w:rsid w:val="00230AFB"/>
    <w:rsid w:val="00230E5C"/>
    <w:rsid w:val="00231D14"/>
    <w:rsid w:val="00241966"/>
    <w:rsid w:val="0025156C"/>
    <w:rsid w:val="00255A82"/>
    <w:rsid w:val="00260CA1"/>
    <w:rsid w:val="00261471"/>
    <w:rsid w:val="0026321F"/>
    <w:rsid w:val="00263AF8"/>
    <w:rsid w:val="002646A2"/>
    <w:rsid w:val="00265E6D"/>
    <w:rsid w:val="00267E17"/>
    <w:rsid w:val="00272A37"/>
    <w:rsid w:val="002762F7"/>
    <w:rsid w:val="00281579"/>
    <w:rsid w:val="00282A3A"/>
    <w:rsid w:val="00283285"/>
    <w:rsid w:val="002843EA"/>
    <w:rsid w:val="00285F24"/>
    <w:rsid w:val="00295918"/>
    <w:rsid w:val="002B05BF"/>
    <w:rsid w:val="002D303B"/>
    <w:rsid w:val="002E1CE4"/>
    <w:rsid w:val="002E27C0"/>
    <w:rsid w:val="002F0B34"/>
    <w:rsid w:val="00306C61"/>
    <w:rsid w:val="00307193"/>
    <w:rsid w:val="00307EC7"/>
    <w:rsid w:val="0031562D"/>
    <w:rsid w:val="003168EC"/>
    <w:rsid w:val="003247F4"/>
    <w:rsid w:val="0033526B"/>
    <w:rsid w:val="00341941"/>
    <w:rsid w:val="003433B4"/>
    <w:rsid w:val="003449C4"/>
    <w:rsid w:val="00346A15"/>
    <w:rsid w:val="00354C25"/>
    <w:rsid w:val="00357417"/>
    <w:rsid w:val="00362F45"/>
    <w:rsid w:val="00370576"/>
    <w:rsid w:val="0037179A"/>
    <w:rsid w:val="00374832"/>
    <w:rsid w:val="0037582B"/>
    <w:rsid w:val="0038373C"/>
    <w:rsid w:val="00397FDF"/>
    <w:rsid w:val="003A3AE2"/>
    <w:rsid w:val="003B628D"/>
    <w:rsid w:val="003C4F6D"/>
    <w:rsid w:val="003D0B89"/>
    <w:rsid w:val="003D1E2D"/>
    <w:rsid w:val="003E2257"/>
    <w:rsid w:val="003E2ACE"/>
    <w:rsid w:val="003F0376"/>
    <w:rsid w:val="003F5079"/>
    <w:rsid w:val="003F7E91"/>
    <w:rsid w:val="00412B55"/>
    <w:rsid w:val="00431938"/>
    <w:rsid w:val="00433710"/>
    <w:rsid w:val="00433CD6"/>
    <w:rsid w:val="00433ECD"/>
    <w:rsid w:val="004362D6"/>
    <w:rsid w:val="00444FF0"/>
    <w:rsid w:val="00464053"/>
    <w:rsid w:val="004669B4"/>
    <w:rsid w:val="00472C35"/>
    <w:rsid w:val="00473694"/>
    <w:rsid w:val="00494B08"/>
    <w:rsid w:val="004A1B97"/>
    <w:rsid w:val="004A2B32"/>
    <w:rsid w:val="004A322D"/>
    <w:rsid w:val="004A4334"/>
    <w:rsid w:val="004B38F8"/>
    <w:rsid w:val="004B47EB"/>
    <w:rsid w:val="004C13BF"/>
    <w:rsid w:val="00501035"/>
    <w:rsid w:val="005043B4"/>
    <w:rsid w:val="005210E4"/>
    <w:rsid w:val="0053026F"/>
    <w:rsid w:val="00532407"/>
    <w:rsid w:val="00535975"/>
    <w:rsid w:val="005503DF"/>
    <w:rsid w:val="0055143B"/>
    <w:rsid w:val="00551968"/>
    <w:rsid w:val="00554B44"/>
    <w:rsid w:val="005660FD"/>
    <w:rsid w:val="0057246D"/>
    <w:rsid w:val="005775EC"/>
    <w:rsid w:val="00590AEC"/>
    <w:rsid w:val="00597B70"/>
    <w:rsid w:val="005A0483"/>
    <w:rsid w:val="005A14C1"/>
    <w:rsid w:val="005B4B03"/>
    <w:rsid w:val="005F3600"/>
    <w:rsid w:val="00601473"/>
    <w:rsid w:val="0061605D"/>
    <w:rsid w:val="00620917"/>
    <w:rsid w:val="00637544"/>
    <w:rsid w:val="00643437"/>
    <w:rsid w:val="006434AD"/>
    <w:rsid w:val="006528D4"/>
    <w:rsid w:val="00653593"/>
    <w:rsid w:val="00653807"/>
    <w:rsid w:val="00654C86"/>
    <w:rsid w:val="00667ACD"/>
    <w:rsid w:val="0067252C"/>
    <w:rsid w:val="0067340D"/>
    <w:rsid w:val="00673BD5"/>
    <w:rsid w:val="00673E55"/>
    <w:rsid w:val="00675107"/>
    <w:rsid w:val="0068536A"/>
    <w:rsid w:val="00693EC6"/>
    <w:rsid w:val="006A5AB5"/>
    <w:rsid w:val="006B6B91"/>
    <w:rsid w:val="006C2A16"/>
    <w:rsid w:val="006C60E0"/>
    <w:rsid w:val="00734BE1"/>
    <w:rsid w:val="00753FC8"/>
    <w:rsid w:val="007566ED"/>
    <w:rsid w:val="00766EF5"/>
    <w:rsid w:val="00771FE1"/>
    <w:rsid w:val="00776873"/>
    <w:rsid w:val="007858B0"/>
    <w:rsid w:val="00790FC3"/>
    <w:rsid w:val="007B3251"/>
    <w:rsid w:val="007B4914"/>
    <w:rsid w:val="007B59CF"/>
    <w:rsid w:val="007C09C7"/>
    <w:rsid w:val="007C4F46"/>
    <w:rsid w:val="007C5832"/>
    <w:rsid w:val="007D0769"/>
    <w:rsid w:val="007E51D0"/>
    <w:rsid w:val="007E6E8D"/>
    <w:rsid w:val="008003C5"/>
    <w:rsid w:val="00802AAE"/>
    <w:rsid w:val="00813960"/>
    <w:rsid w:val="008266F8"/>
    <w:rsid w:val="00843D52"/>
    <w:rsid w:val="008448BF"/>
    <w:rsid w:val="0085540B"/>
    <w:rsid w:val="00857548"/>
    <w:rsid w:val="00877DFC"/>
    <w:rsid w:val="00884ED5"/>
    <w:rsid w:val="00890300"/>
    <w:rsid w:val="0089057B"/>
    <w:rsid w:val="008971DE"/>
    <w:rsid w:val="00897FAF"/>
    <w:rsid w:val="008C565B"/>
    <w:rsid w:val="008D0159"/>
    <w:rsid w:val="008D5D4C"/>
    <w:rsid w:val="008F3E6E"/>
    <w:rsid w:val="008F48AB"/>
    <w:rsid w:val="00904F1E"/>
    <w:rsid w:val="009124D8"/>
    <w:rsid w:val="009162CC"/>
    <w:rsid w:val="00922F67"/>
    <w:rsid w:val="00945676"/>
    <w:rsid w:val="009540EF"/>
    <w:rsid w:val="00964EC6"/>
    <w:rsid w:val="00972925"/>
    <w:rsid w:val="009957B1"/>
    <w:rsid w:val="00995F9F"/>
    <w:rsid w:val="009976B5"/>
    <w:rsid w:val="009A2C59"/>
    <w:rsid w:val="009B05E2"/>
    <w:rsid w:val="009B7615"/>
    <w:rsid w:val="009C6669"/>
    <w:rsid w:val="009C6DBB"/>
    <w:rsid w:val="009D0788"/>
    <w:rsid w:val="009D0B42"/>
    <w:rsid w:val="009D1726"/>
    <w:rsid w:val="009D2ADC"/>
    <w:rsid w:val="009E4834"/>
    <w:rsid w:val="009E76D3"/>
    <w:rsid w:val="009E7E91"/>
    <w:rsid w:val="00A030F8"/>
    <w:rsid w:val="00A050D5"/>
    <w:rsid w:val="00A05B8D"/>
    <w:rsid w:val="00A12B7E"/>
    <w:rsid w:val="00A15502"/>
    <w:rsid w:val="00A50E2D"/>
    <w:rsid w:val="00A62DCB"/>
    <w:rsid w:val="00A6521C"/>
    <w:rsid w:val="00A65610"/>
    <w:rsid w:val="00A76F0A"/>
    <w:rsid w:val="00A77810"/>
    <w:rsid w:val="00AA53AF"/>
    <w:rsid w:val="00AB513B"/>
    <w:rsid w:val="00AB6082"/>
    <w:rsid w:val="00AC31B7"/>
    <w:rsid w:val="00AD1DF8"/>
    <w:rsid w:val="00AD3AE9"/>
    <w:rsid w:val="00AE5DDE"/>
    <w:rsid w:val="00AE7E58"/>
    <w:rsid w:val="00AF086D"/>
    <w:rsid w:val="00AF184A"/>
    <w:rsid w:val="00AF3220"/>
    <w:rsid w:val="00AF526A"/>
    <w:rsid w:val="00B05D6C"/>
    <w:rsid w:val="00B14F91"/>
    <w:rsid w:val="00B15BC8"/>
    <w:rsid w:val="00B208F3"/>
    <w:rsid w:val="00B264B2"/>
    <w:rsid w:val="00B454AD"/>
    <w:rsid w:val="00B51BDC"/>
    <w:rsid w:val="00B54CDF"/>
    <w:rsid w:val="00B561C0"/>
    <w:rsid w:val="00B773CE"/>
    <w:rsid w:val="00B84733"/>
    <w:rsid w:val="00B91477"/>
    <w:rsid w:val="00BA591D"/>
    <w:rsid w:val="00BA7EE0"/>
    <w:rsid w:val="00BC17B6"/>
    <w:rsid w:val="00BC7D51"/>
    <w:rsid w:val="00BD0C73"/>
    <w:rsid w:val="00BD1C72"/>
    <w:rsid w:val="00BD31C0"/>
    <w:rsid w:val="00BD5753"/>
    <w:rsid w:val="00BD5CAD"/>
    <w:rsid w:val="00BE0495"/>
    <w:rsid w:val="00BE738D"/>
    <w:rsid w:val="00BF1E40"/>
    <w:rsid w:val="00C01826"/>
    <w:rsid w:val="00C053A6"/>
    <w:rsid w:val="00C1767C"/>
    <w:rsid w:val="00C22C3E"/>
    <w:rsid w:val="00C22D08"/>
    <w:rsid w:val="00C34F39"/>
    <w:rsid w:val="00C377C4"/>
    <w:rsid w:val="00C516C1"/>
    <w:rsid w:val="00C5310C"/>
    <w:rsid w:val="00C54343"/>
    <w:rsid w:val="00C610B2"/>
    <w:rsid w:val="00C62A01"/>
    <w:rsid w:val="00C65F3E"/>
    <w:rsid w:val="00C91823"/>
    <w:rsid w:val="00C924F4"/>
    <w:rsid w:val="00C94150"/>
    <w:rsid w:val="00C9463F"/>
    <w:rsid w:val="00CA179B"/>
    <w:rsid w:val="00CA4E90"/>
    <w:rsid w:val="00CA60DC"/>
    <w:rsid w:val="00CB7E14"/>
    <w:rsid w:val="00CC326C"/>
    <w:rsid w:val="00CD09DF"/>
    <w:rsid w:val="00CD5315"/>
    <w:rsid w:val="00CD5910"/>
    <w:rsid w:val="00CE0407"/>
    <w:rsid w:val="00CE75E1"/>
    <w:rsid w:val="00CF6808"/>
    <w:rsid w:val="00D008AB"/>
    <w:rsid w:val="00D00A7D"/>
    <w:rsid w:val="00D04130"/>
    <w:rsid w:val="00D31858"/>
    <w:rsid w:val="00D34708"/>
    <w:rsid w:val="00D35BA6"/>
    <w:rsid w:val="00D41686"/>
    <w:rsid w:val="00D45324"/>
    <w:rsid w:val="00D50C55"/>
    <w:rsid w:val="00D57615"/>
    <w:rsid w:val="00D60AA5"/>
    <w:rsid w:val="00D60D2F"/>
    <w:rsid w:val="00D60EE3"/>
    <w:rsid w:val="00D6333C"/>
    <w:rsid w:val="00D82652"/>
    <w:rsid w:val="00D82D13"/>
    <w:rsid w:val="00DA200C"/>
    <w:rsid w:val="00DA3CA7"/>
    <w:rsid w:val="00DB0847"/>
    <w:rsid w:val="00DB56F0"/>
    <w:rsid w:val="00DB59D9"/>
    <w:rsid w:val="00DB5D1A"/>
    <w:rsid w:val="00DB7E16"/>
    <w:rsid w:val="00DC4CF3"/>
    <w:rsid w:val="00DC7826"/>
    <w:rsid w:val="00E01FC8"/>
    <w:rsid w:val="00E03238"/>
    <w:rsid w:val="00E10F74"/>
    <w:rsid w:val="00E212D5"/>
    <w:rsid w:val="00E23341"/>
    <w:rsid w:val="00E310AF"/>
    <w:rsid w:val="00E336FA"/>
    <w:rsid w:val="00E36BA4"/>
    <w:rsid w:val="00E47D21"/>
    <w:rsid w:val="00E60579"/>
    <w:rsid w:val="00E67631"/>
    <w:rsid w:val="00E82DBD"/>
    <w:rsid w:val="00E8314F"/>
    <w:rsid w:val="00E867F5"/>
    <w:rsid w:val="00E963F6"/>
    <w:rsid w:val="00E97BE3"/>
    <w:rsid w:val="00EA2309"/>
    <w:rsid w:val="00EA52E0"/>
    <w:rsid w:val="00EB1B69"/>
    <w:rsid w:val="00EB4B79"/>
    <w:rsid w:val="00EC162A"/>
    <w:rsid w:val="00EC1A58"/>
    <w:rsid w:val="00ED34BB"/>
    <w:rsid w:val="00EE6AE3"/>
    <w:rsid w:val="00EE7B9F"/>
    <w:rsid w:val="00EF7353"/>
    <w:rsid w:val="00F0205E"/>
    <w:rsid w:val="00F1172D"/>
    <w:rsid w:val="00F17624"/>
    <w:rsid w:val="00F251BF"/>
    <w:rsid w:val="00F35881"/>
    <w:rsid w:val="00F3672E"/>
    <w:rsid w:val="00F373FC"/>
    <w:rsid w:val="00F45106"/>
    <w:rsid w:val="00F610EF"/>
    <w:rsid w:val="00F64395"/>
    <w:rsid w:val="00F764DE"/>
    <w:rsid w:val="00F860D5"/>
    <w:rsid w:val="00FA0558"/>
    <w:rsid w:val="00FA29E5"/>
    <w:rsid w:val="00FA4BC1"/>
    <w:rsid w:val="00FA6717"/>
    <w:rsid w:val="00FB4DB0"/>
    <w:rsid w:val="00FD6270"/>
    <w:rsid w:val="00FE3103"/>
    <w:rsid w:val="00FF4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8AA28"/>
  <w15:chartTrackingRefBased/>
  <w15:docId w15:val="{E05687EE-A8C4-4BBF-B96B-68B8714C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0" w:unhideWhenUsed="1" w:qFormat="1"/>
    <w:lsdException w:name="heading 4" w:locked="0" w:semiHidden="1" w:uiPriority="0"/>
    <w:lsdException w:name="heading 5" w:locked="0" w:semiHidden="1" w:uiPriority="0" w:unhideWhenUsed="1" w:qFormat="1"/>
    <w:lsdException w:name="heading 6" w:locked="0" w:semiHidden="1" w:uiPriority="0" w:unhideWhenUsed="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unhideWhenUsed="1"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7252C"/>
    <w:pPr>
      <w:spacing w:before="240" w:after="240" w:line="276" w:lineRule="auto"/>
    </w:pPr>
    <w:rPr>
      <w:rFonts w:cs="Arial"/>
      <w:color w:val="0B1C32"/>
      <w:sz w:val="24"/>
      <w:szCs w:val="24"/>
    </w:rPr>
  </w:style>
  <w:style w:type="paragraph" w:styleId="Heading1">
    <w:name w:val="heading 1"/>
    <w:basedOn w:val="Normal"/>
    <w:next w:val="Normal"/>
    <w:link w:val="Heading1Char"/>
    <w:qFormat/>
    <w:rsid w:val="008D5D4C"/>
    <w:pPr>
      <w:outlineLvl w:val="0"/>
    </w:pPr>
    <w:rPr>
      <w:b/>
      <w:kern w:val="24"/>
      <w:sz w:val="36"/>
      <w:szCs w:val="36"/>
    </w:rPr>
  </w:style>
  <w:style w:type="paragraph" w:styleId="Heading2">
    <w:name w:val="heading 2"/>
    <w:aliases w:val="Outline2"/>
    <w:basedOn w:val="Normal"/>
    <w:next w:val="Normal"/>
    <w:link w:val="Heading2Char"/>
    <w:qFormat/>
    <w:rsid w:val="00F3672E"/>
    <w:pPr>
      <w:pBdr>
        <w:top w:val="single" w:sz="18" w:space="1" w:color="0B1C32"/>
        <w:left w:val="single" w:sz="18" w:space="4" w:color="0B1C32"/>
        <w:bottom w:val="single" w:sz="18" w:space="1" w:color="0B1C32"/>
        <w:right w:val="single" w:sz="18" w:space="4" w:color="0B1C32"/>
      </w:pBdr>
      <w:shd w:val="clear" w:color="auto" w:fill="0B1C32"/>
      <w:ind w:right="57"/>
      <w:outlineLvl w:val="1"/>
    </w:pPr>
    <w:rPr>
      <w:b/>
      <w:color w:val="FFFFFF" w:themeColor="background1"/>
      <w:sz w:val="28"/>
      <w:szCs w:val="28"/>
    </w:rPr>
  </w:style>
  <w:style w:type="paragraph" w:styleId="Heading3">
    <w:name w:val="heading 3"/>
    <w:aliases w:val="Outline3"/>
    <w:basedOn w:val="Normal"/>
    <w:next w:val="Normal"/>
    <w:link w:val="Heading3Char"/>
    <w:qFormat/>
    <w:rsid w:val="003D0B89"/>
    <w:pPr>
      <w:shd w:val="clear" w:color="auto" w:fill="0B1C32"/>
      <w:outlineLvl w:val="2"/>
    </w:pPr>
    <w:rPr>
      <w:bCs/>
      <w:color w:val="FFFFFF" w:themeColor="background1"/>
      <w:kern w:val="24"/>
    </w:rPr>
  </w:style>
  <w:style w:type="paragraph" w:styleId="Heading4">
    <w:name w:val="heading 4"/>
    <w:basedOn w:val="Normal"/>
    <w:next w:val="Normal"/>
    <w:link w:val="Heading4Char"/>
    <w:unhideWhenUsed/>
    <w:locked/>
    <w:rsid w:val="00E23341"/>
    <w:pPr>
      <w:keepNext/>
      <w:keepLines/>
      <w:outlineLvl w:val="3"/>
    </w:pPr>
    <w:rPr>
      <w:rFonts w:eastAsiaTheme="majorEastAsia"/>
      <w:b/>
      <w:iCs/>
      <w:sz w:val="28"/>
      <w:szCs w:val="28"/>
      <w:u w:val="single"/>
    </w:rPr>
  </w:style>
  <w:style w:type="paragraph" w:styleId="Heading5">
    <w:name w:val="heading 5"/>
    <w:basedOn w:val="Normal"/>
    <w:next w:val="Normal"/>
    <w:link w:val="Heading5Char"/>
    <w:autoRedefine/>
    <w:qFormat/>
    <w:locked/>
    <w:rsid w:val="00E23341"/>
    <w:pPr>
      <w:keepNext/>
      <w:keepLines/>
      <w:outlineLvl w:val="4"/>
    </w:pPr>
    <w:rPr>
      <w:rFonts w:eastAsiaTheme="majorEastAsia"/>
      <w:sz w:val="28"/>
      <w:szCs w:val="28"/>
      <w:u w:val="single"/>
    </w:rPr>
  </w:style>
  <w:style w:type="paragraph" w:styleId="Heading6">
    <w:name w:val="heading 6"/>
    <w:basedOn w:val="Normal"/>
    <w:next w:val="Normal"/>
    <w:link w:val="Heading6Char"/>
    <w:autoRedefine/>
    <w:semiHidden/>
    <w:locked/>
    <w:rsid w:val="00E23341"/>
    <w:pPr>
      <w:keepNext/>
      <w:keepLines/>
      <w:shd w:val="solid" w:color="0B1C32" w:fill="0B1C32"/>
      <w:outlineLvl w:val="5"/>
    </w:pPr>
    <w:rPr>
      <w:rFonts w:eastAsiaTheme="majorEastAsia"/>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semiHidden/>
    <w:locked/>
    <w:rsid w:val="00A030F8"/>
    <w:pPr>
      <w:numPr>
        <w:numId w:val="1"/>
      </w:numPr>
      <w:tabs>
        <w:tab w:val="left" w:pos="360"/>
        <w:tab w:val="left" w:pos="1080"/>
        <w:tab w:val="left" w:pos="1800"/>
        <w:tab w:val="left" w:pos="3240"/>
      </w:tabs>
      <w:ind w:left="357" w:hanging="357"/>
    </w:pPr>
  </w:style>
  <w:style w:type="paragraph" w:styleId="Footer">
    <w:name w:val="footer"/>
    <w:basedOn w:val="Normal"/>
    <w:link w:val="FooterChar"/>
    <w:uiPriority w:val="9"/>
    <w:semiHidden/>
    <w:rsid w:val="003D0B89"/>
    <w:pPr>
      <w:tabs>
        <w:tab w:val="center" w:pos="4153"/>
        <w:tab w:val="right" w:pos="8306"/>
      </w:tabs>
      <w:spacing w:line="360" w:lineRule="auto"/>
    </w:pPr>
    <w:rPr>
      <w:sz w:val="20"/>
    </w:rPr>
  </w:style>
  <w:style w:type="character" w:customStyle="1" w:styleId="FooterChar">
    <w:name w:val="Footer Char"/>
    <w:basedOn w:val="DefaultParagraphFont"/>
    <w:link w:val="Footer"/>
    <w:uiPriority w:val="9"/>
    <w:semiHidden/>
    <w:rsid w:val="00032DC1"/>
    <w:rPr>
      <w:rFonts w:cs="Arial"/>
      <w:color w:val="0B1C32"/>
      <w:sz w:val="20"/>
      <w:szCs w:val="24"/>
    </w:rPr>
  </w:style>
  <w:style w:type="paragraph" w:styleId="Header">
    <w:name w:val="header"/>
    <w:basedOn w:val="Normal"/>
    <w:link w:val="HeaderChar"/>
    <w:uiPriority w:val="9"/>
    <w:semiHidden/>
    <w:locked/>
    <w:rsid w:val="001D65CE"/>
    <w:pPr>
      <w:tabs>
        <w:tab w:val="center" w:pos="4153"/>
        <w:tab w:val="right" w:pos="8306"/>
      </w:tabs>
    </w:pPr>
  </w:style>
  <w:style w:type="character" w:customStyle="1" w:styleId="HeaderChar">
    <w:name w:val="Header Char"/>
    <w:basedOn w:val="DefaultParagraphFont"/>
    <w:link w:val="Header"/>
    <w:uiPriority w:val="9"/>
    <w:semiHidden/>
    <w:rsid w:val="00032DC1"/>
    <w:rPr>
      <w:rFonts w:cs="Arial"/>
      <w:color w:val="0B1C32"/>
      <w:sz w:val="24"/>
      <w:szCs w:val="24"/>
    </w:rPr>
  </w:style>
  <w:style w:type="character" w:customStyle="1" w:styleId="Heading1Char">
    <w:name w:val="Heading 1 Char"/>
    <w:basedOn w:val="DefaultParagraphFont"/>
    <w:link w:val="Heading1"/>
    <w:rsid w:val="008D5D4C"/>
    <w:rPr>
      <w:rFonts w:cs="Arial"/>
      <w:b/>
      <w:color w:val="0B1C32"/>
      <w:kern w:val="24"/>
      <w:sz w:val="36"/>
      <w:szCs w:val="36"/>
    </w:rPr>
  </w:style>
  <w:style w:type="character" w:customStyle="1" w:styleId="Heading2Char">
    <w:name w:val="Heading 2 Char"/>
    <w:aliases w:val="Outline2 Char"/>
    <w:basedOn w:val="DefaultParagraphFont"/>
    <w:link w:val="Heading2"/>
    <w:rsid w:val="00F3672E"/>
    <w:rPr>
      <w:rFonts w:cs="Arial"/>
      <w:b/>
      <w:color w:val="FFFFFF" w:themeColor="background1"/>
      <w:shd w:val="clear" w:color="auto" w:fill="0B1C32"/>
    </w:rPr>
  </w:style>
  <w:style w:type="character" w:customStyle="1" w:styleId="Heading3Char">
    <w:name w:val="Heading 3 Char"/>
    <w:aliases w:val="Outline3 Char"/>
    <w:basedOn w:val="DefaultParagraphFont"/>
    <w:link w:val="Heading3"/>
    <w:rsid w:val="003D0B89"/>
    <w:rPr>
      <w:rFonts w:cs="Arial"/>
      <w:bCs/>
      <w:color w:val="FFFFFF" w:themeColor="background1"/>
      <w:kern w:val="24"/>
      <w:sz w:val="24"/>
      <w:szCs w:val="24"/>
      <w:shd w:val="clear" w:color="auto" w:fill="0B1C32"/>
    </w:rPr>
  </w:style>
  <w:style w:type="paragraph" w:customStyle="1" w:styleId="Outline4">
    <w:name w:val="Outline4"/>
    <w:basedOn w:val="Normal"/>
    <w:next w:val="Normal"/>
    <w:uiPriority w:val="4"/>
    <w:semiHidden/>
    <w:locked/>
    <w:rsid w:val="001D65CE"/>
    <w:pPr>
      <w:ind w:left="2160"/>
    </w:pPr>
    <w:rPr>
      <w:kern w:val="24"/>
    </w:rPr>
  </w:style>
  <w:style w:type="paragraph" w:customStyle="1" w:styleId="Outline5">
    <w:name w:val="Outline5"/>
    <w:basedOn w:val="Normal"/>
    <w:next w:val="Normal"/>
    <w:uiPriority w:val="4"/>
    <w:semiHidden/>
    <w:locked/>
    <w:rsid w:val="001D65CE"/>
    <w:pPr>
      <w:ind w:left="720"/>
    </w:pPr>
    <w:rPr>
      <w:kern w:val="24"/>
    </w:rPr>
  </w:style>
  <w:style w:type="paragraph" w:customStyle="1" w:styleId="Outline6">
    <w:name w:val="Outline6"/>
    <w:basedOn w:val="Normal"/>
    <w:next w:val="Normal"/>
    <w:uiPriority w:val="4"/>
    <w:semiHidden/>
    <w:locked/>
    <w:rsid w:val="001D65CE"/>
    <w:pPr>
      <w:ind w:left="2160"/>
    </w:pPr>
    <w:rPr>
      <w:kern w:val="24"/>
    </w:rPr>
  </w:style>
  <w:style w:type="paragraph" w:customStyle="1" w:styleId="Outline7">
    <w:name w:val="Outline7"/>
    <w:basedOn w:val="Normal"/>
    <w:next w:val="Normal"/>
    <w:uiPriority w:val="4"/>
    <w:semiHidden/>
    <w:locked/>
    <w:rsid w:val="001D65CE"/>
    <w:pPr>
      <w:ind w:left="720"/>
    </w:pPr>
    <w:rPr>
      <w:kern w:val="24"/>
    </w:rPr>
  </w:style>
  <w:style w:type="paragraph" w:styleId="Quote">
    <w:name w:val="Quote"/>
    <w:basedOn w:val="Normal"/>
    <w:next w:val="Normal"/>
    <w:link w:val="QuoteChar"/>
    <w:uiPriority w:val="29"/>
    <w:semiHidden/>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semiHidden/>
    <w:rsid w:val="00BC7D51"/>
    <w:rPr>
      <w:rFonts w:cs="Arial"/>
      <w:iCs/>
      <w:color w:val="404040" w:themeColor="text1" w:themeTint="BF"/>
      <w:sz w:val="24"/>
      <w:szCs w:val="24"/>
    </w:rPr>
  </w:style>
  <w:style w:type="character" w:styleId="Hyperlink">
    <w:name w:val="Hyperlink"/>
    <w:uiPriority w:val="99"/>
    <w:rsid w:val="00260CA1"/>
    <w:rPr>
      <w:rFonts w:ascii="Arial" w:hAnsi="Arial"/>
      <w:b w:val="0"/>
      <w:i w:val="0"/>
      <w:color w:val="0000FF"/>
      <w:sz w:val="24"/>
      <w:u w:val="single"/>
    </w:rPr>
  </w:style>
  <w:style w:type="character" w:styleId="CommentReference">
    <w:name w:val="annotation reference"/>
    <w:uiPriority w:val="99"/>
    <w:semiHidden/>
    <w:unhideWhenUsed/>
    <w:locked/>
    <w:rsid w:val="0033526B"/>
    <w:rPr>
      <w:sz w:val="16"/>
      <w:szCs w:val="16"/>
    </w:rPr>
  </w:style>
  <w:style w:type="paragraph" w:styleId="CommentText">
    <w:name w:val="annotation text"/>
    <w:basedOn w:val="Normal"/>
    <w:link w:val="CommentTextChar"/>
    <w:uiPriority w:val="99"/>
    <w:unhideWhenUsed/>
    <w:lock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aliases w:val="Endnote Footnote Text,Footnote Endnote Text"/>
    <w:link w:val="FootnoteTextChar"/>
    <w:uiPriority w:val="9"/>
    <w:semiHidden/>
    <w:qFormat/>
    <w:rsid w:val="00374832"/>
    <w:pPr>
      <w:spacing w:line="240" w:lineRule="auto"/>
    </w:pPr>
    <w:rPr>
      <w:rFonts w:eastAsia="Calibri" w:cs="Times New Roman"/>
      <w:sz w:val="22"/>
      <w:szCs w:val="20"/>
      <w:lang w:val="x-none"/>
    </w:rPr>
  </w:style>
  <w:style w:type="character" w:customStyle="1" w:styleId="FootnoteTextChar">
    <w:name w:val="Footnote Text Char"/>
    <w:aliases w:val="Endnote Footnote Text Char,Footnote Endnote Text Char"/>
    <w:basedOn w:val="DefaultParagraphFont"/>
    <w:link w:val="FootnoteText"/>
    <w:uiPriority w:val="9"/>
    <w:semiHidden/>
    <w:rsid w:val="00032DC1"/>
    <w:rPr>
      <w:rFonts w:eastAsia="Calibri" w:cs="Times New Roman"/>
      <w:sz w:val="22"/>
      <w:szCs w:val="20"/>
      <w:lang w:val="x-none"/>
    </w:rPr>
  </w:style>
  <w:style w:type="character" w:styleId="FootnoteReference">
    <w:name w:val="footnote reference"/>
    <w:uiPriority w:val="99"/>
    <w:semiHidden/>
    <w:unhideWhenUsed/>
    <w:qFormat/>
    <w:rsid w:val="0033526B"/>
    <w:rPr>
      <w:vertAlign w:val="superscript"/>
    </w:rPr>
  </w:style>
  <w:style w:type="character" w:styleId="PageNumber">
    <w:name w:val="page number"/>
    <w:basedOn w:val="DefaultParagraphFont"/>
    <w:uiPriority w:val="99"/>
    <w:semiHidden/>
    <w:unhideWhenUsed/>
    <w:locked/>
    <w:rsid w:val="0033526B"/>
  </w:style>
  <w:style w:type="paragraph" w:customStyle="1" w:styleId="SFTBodyText">
    <w:name w:val="SFT Body Text"/>
    <w:basedOn w:val="Normal"/>
    <w:uiPriority w:val="4"/>
    <w:semiHidden/>
    <w:locked/>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semiHidden/>
    <w:locked/>
    <w:rsid w:val="001D65CE"/>
    <w:rPr>
      <w:b/>
      <w:bCs/>
    </w:rPr>
  </w:style>
  <w:style w:type="table" w:styleId="MediumGrid1-Accent2">
    <w:name w:val="Medium Grid 1 Accent 2"/>
    <w:basedOn w:val="TableNormal"/>
    <w:link w:val="MediumGrid1-Accent2Char"/>
    <w:uiPriority w:val="34"/>
    <w:semiHidden/>
    <w:unhideWhenUsed/>
    <w:lock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Subtitle">
    <w:name w:val="Subtitle"/>
    <w:aliases w:val="Recommendations"/>
    <w:basedOn w:val="Normal"/>
    <w:next w:val="Normal"/>
    <w:link w:val="SubtitleChar"/>
    <w:uiPriority w:val="1"/>
    <w:qFormat/>
    <w:rsid w:val="001D65CE"/>
    <w:pPr>
      <w:pBdr>
        <w:top w:val="single" w:sz="4" w:space="1" w:color="000000"/>
        <w:bottom w:val="single" w:sz="4" w:space="1" w:color="000000"/>
      </w:pBdr>
      <w:tabs>
        <w:tab w:val="num" w:pos="0"/>
      </w:tabs>
      <w:ind w:right="237"/>
    </w:pPr>
  </w:style>
  <w:style w:type="character" w:customStyle="1" w:styleId="SubtitleChar">
    <w:name w:val="Subtitle Char"/>
    <w:aliases w:val="Recommendations Char"/>
    <w:basedOn w:val="DefaultParagraphFont"/>
    <w:link w:val="Subtitle"/>
    <w:uiPriority w:val="1"/>
    <w:rsid w:val="00032DC1"/>
    <w:rPr>
      <w:rFonts w:cs="Arial"/>
      <w:color w:val="0B1C32"/>
      <w:sz w:val="24"/>
      <w:szCs w:val="24"/>
    </w:rPr>
  </w:style>
  <w:style w:type="paragraph" w:customStyle="1" w:styleId="ConsultationQuestion">
    <w:name w:val="Consultation Question"/>
    <w:basedOn w:val="Normal"/>
    <w:uiPriority w:val="3"/>
    <w:semiHidden/>
    <w:qFormat/>
    <w:locked/>
    <w:rsid w:val="001D65CE"/>
    <w:pPr>
      <w:numPr>
        <w:numId w:val="2"/>
      </w:numPr>
      <w:ind w:right="57"/>
      <w:contextualSpacing/>
    </w:pPr>
    <w:rPr>
      <w:rFonts w:cstheme="minorHAnsi"/>
      <w:b/>
    </w:rPr>
  </w:style>
  <w:style w:type="paragraph" w:styleId="ListParagraph">
    <w:name w:val="List Paragraph"/>
    <w:aliases w:val="Bullets"/>
    <w:basedOn w:val="Normal"/>
    <w:link w:val="ListParagraphChar"/>
    <w:uiPriority w:val="34"/>
    <w:qFormat/>
    <w:rsid w:val="008D0159"/>
    <w:pPr>
      <w:numPr>
        <w:numId w:val="25"/>
      </w:numPr>
      <w:spacing w:line="360" w:lineRule="auto"/>
      <w:contextualSpacing/>
    </w:pPr>
  </w:style>
  <w:style w:type="paragraph" w:styleId="BalloonText">
    <w:name w:val="Balloon Text"/>
    <w:basedOn w:val="Normal"/>
    <w:link w:val="BalloonTextChar"/>
    <w:uiPriority w:val="99"/>
    <w:semiHidden/>
    <w:unhideWhenUsed/>
    <w:lock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rsid w:val="00433710"/>
    <w:pPr>
      <w:keepNext/>
      <w:keepLines/>
      <w:spacing w:after="0" w:line="259" w:lineRule="auto"/>
      <w:outlineLvl w:val="9"/>
    </w:pPr>
    <w:rPr>
      <w:rFonts w:eastAsiaTheme="majorEastAsia" w:cstheme="majorBidi"/>
      <w:kern w:val="0"/>
      <w:szCs w:val="32"/>
      <w:lang w:val="en-US"/>
    </w:rPr>
  </w:style>
  <w:style w:type="paragraph" w:styleId="TOC1">
    <w:name w:val="toc 1"/>
    <w:basedOn w:val="Normal"/>
    <w:next w:val="Normal"/>
    <w:autoRedefine/>
    <w:uiPriority w:val="39"/>
    <w:unhideWhenUsed/>
    <w:rsid w:val="00241966"/>
    <w:pPr>
      <w:tabs>
        <w:tab w:val="right" w:leader="dot" w:pos="9016"/>
      </w:tabs>
    </w:pPr>
    <w:rPr>
      <w:rFonts w:cstheme="minorHAnsi"/>
      <w:bCs/>
      <w:noProof/>
      <w:sz w:val="28"/>
      <w:szCs w:val="20"/>
    </w:rPr>
  </w:style>
  <w:style w:type="paragraph" w:styleId="TOC2">
    <w:name w:val="toc 2"/>
    <w:basedOn w:val="Normal"/>
    <w:next w:val="Normal"/>
    <w:autoRedefine/>
    <w:uiPriority w:val="39"/>
    <w:unhideWhenUsed/>
    <w:locked/>
    <w:rsid w:val="00433710"/>
    <w:pPr>
      <w:tabs>
        <w:tab w:val="right" w:leader="dot" w:pos="9016"/>
      </w:tabs>
      <w:spacing w:before="120" w:after="0"/>
      <w:ind w:left="240"/>
    </w:pPr>
    <w:rPr>
      <w:rFonts w:cstheme="minorHAnsi"/>
      <w:iCs/>
      <w:noProof/>
      <w:sz w:val="28"/>
      <w:szCs w:val="20"/>
    </w:rPr>
  </w:style>
  <w:style w:type="paragraph" w:customStyle="1" w:styleId="Sub-heading">
    <w:name w:val="Sub-heading"/>
    <w:basedOn w:val="Normal"/>
    <w:link w:val="Sub-headingChar"/>
    <w:uiPriority w:val="4"/>
    <w:semiHidden/>
    <w:locked/>
    <w:rsid w:val="001D65CE"/>
    <w:rPr>
      <w:b/>
    </w:rPr>
  </w:style>
  <w:style w:type="character" w:customStyle="1" w:styleId="Sub-headingChar">
    <w:name w:val="Sub-heading Char"/>
    <w:basedOn w:val="DefaultParagraphFont"/>
    <w:link w:val="Sub-heading"/>
    <w:uiPriority w:val="4"/>
    <w:semiHidden/>
    <w:rsid w:val="00BC7D51"/>
    <w:rPr>
      <w:rFonts w:cs="Arial"/>
      <w:b/>
      <w:color w:val="000000" w:themeColor="text1"/>
      <w:sz w:val="24"/>
      <w:szCs w:val="24"/>
    </w:rPr>
  </w:style>
  <w:style w:type="table" w:styleId="TableGrid">
    <w:name w:val="Table Grid"/>
    <w:basedOn w:val="TableNormal"/>
    <w:uiPriority w:val="59"/>
    <w:rsid w:val="0000488E"/>
    <w:rPr>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locked/>
    <w:rsid w:val="00433710"/>
    <w:pPr>
      <w:tabs>
        <w:tab w:val="right" w:leader="dot" w:pos="9016"/>
      </w:tabs>
      <w:spacing w:before="0" w:after="0"/>
      <w:ind w:left="480"/>
    </w:pPr>
    <w:rPr>
      <w:rFonts w:cstheme="minorHAnsi"/>
      <w:noProof/>
      <w:sz w:val="28"/>
      <w:szCs w:val="20"/>
    </w:rPr>
  </w:style>
  <w:style w:type="paragraph" w:customStyle="1" w:styleId="NumHead1">
    <w:name w:val="Num Head1"/>
    <w:basedOn w:val="Heading1"/>
    <w:next w:val="Normal"/>
    <w:link w:val="NumHead1Char"/>
    <w:uiPriority w:val="2"/>
    <w:semiHidden/>
    <w:locked/>
    <w:rsid w:val="00813960"/>
    <w:pPr>
      <w:numPr>
        <w:numId w:val="3"/>
      </w:numPr>
    </w:pPr>
    <w:rPr>
      <w:bCs/>
      <w:sz w:val="32"/>
    </w:rPr>
  </w:style>
  <w:style w:type="character" w:customStyle="1" w:styleId="NumHead1Char">
    <w:name w:val="Num Head1 Char"/>
    <w:basedOn w:val="Heading1Char"/>
    <w:link w:val="NumHead1"/>
    <w:uiPriority w:val="2"/>
    <w:semiHidden/>
    <w:rsid w:val="00032DC1"/>
    <w:rPr>
      <w:rFonts w:cs="Arial"/>
      <w:b/>
      <w:bCs/>
      <w:color w:val="0B1C32"/>
      <w:kern w:val="24"/>
      <w:sz w:val="32"/>
      <w:szCs w:val="36"/>
    </w:rPr>
  </w:style>
  <w:style w:type="paragraph" w:customStyle="1" w:styleId="NumHead2">
    <w:name w:val="Num Head2"/>
    <w:basedOn w:val="Heading2"/>
    <w:link w:val="NumHead2Char"/>
    <w:uiPriority w:val="2"/>
    <w:semiHidden/>
    <w:locked/>
    <w:rsid w:val="00813960"/>
    <w:pPr>
      <w:numPr>
        <w:ilvl w:val="1"/>
        <w:numId w:val="3"/>
      </w:numPr>
      <w:ind w:left="1134" w:hanging="774"/>
    </w:pPr>
  </w:style>
  <w:style w:type="character" w:customStyle="1" w:styleId="NumHead2Char">
    <w:name w:val="Num Head2 Char"/>
    <w:basedOn w:val="Heading2Char"/>
    <w:link w:val="NumHead2"/>
    <w:uiPriority w:val="2"/>
    <w:semiHidden/>
    <w:rsid w:val="00032DC1"/>
    <w:rPr>
      <w:rFonts w:cs="Arial"/>
      <w:b/>
      <w:color w:val="FFFFFF" w:themeColor="background1"/>
      <w:shd w:val="clear" w:color="auto" w:fill="0B1C32"/>
    </w:rPr>
  </w:style>
  <w:style w:type="paragraph" w:customStyle="1" w:styleId="NumHead3">
    <w:name w:val="Num Head3"/>
    <w:basedOn w:val="Heading3"/>
    <w:next w:val="Normal"/>
    <w:link w:val="NumHead3Char"/>
    <w:uiPriority w:val="2"/>
    <w:semiHidden/>
    <w:locked/>
    <w:rsid w:val="00813960"/>
    <w:pPr>
      <w:numPr>
        <w:ilvl w:val="2"/>
        <w:numId w:val="3"/>
      </w:numPr>
      <w:ind w:left="1560" w:hanging="840"/>
    </w:pPr>
    <w:rPr>
      <w:b/>
      <w:bCs w:val="0"/>
    </w:rPr>
  </w:style>
  <w:style w:type="character" w:customStyle="1" w:styleId="NumHead3Char">
    <w:name w:val="Num Head3 Char"/>
    <w:basedOn w:val="Heading3Char"/>
    <w:link w:val="NumHead3"/>
    <w:uiPriority w:val="2"/>
    <w:semiHidden/>
    <w:rsid w:val="00032DC1"/>
    <w:rPr>
      <w:rFonts w:cs="Arial"/>
      <w:b/>
      <w:bCs w:val="0"/>
      <w:color w:val="FFFFFF" w:themeColor="background1"/>
      <w:kern w:val="24"/>
      <w:sz w:val="24"/>
      <w:szCs w:val="24"/>
      <w:shd w:val="clear" w:color="auto" w:fill="0B1C32"/>
    </w:rPr>
  </w:style>
  <w:style w:type="paragraph" w:styleId="EndnoteText">
    <w:name w:val="endnote text"/>
    <w:basedOn w:val="Normal"/>
    <w:link w:val="EndnoteTextChar"/>
    <w:uiPriority w:val="99"/>
    <w:qFormat/>
    <w:rsid w:val="00E23341"/>
    <w:pPr>
      <w:spacing w:before="0" w:after="0" w:line="240" w:lineRule="auto"/>
    </w:pPr>
  </w:style>
  <w:style w:type="character" w:customStyle="1" w:styleId="EndnoteTextChar">
    <w:name w:val="Endnote Text Char"/>
    <w:basedOn w:val="DefaultParagraphFont"/>
    <w:link w:val="EndnoteText"/>
    <w:uiPriority w:val="99"/>
    <w:rsid w:val="00032DC1"/>
    <w:rPr>
      <w:rFonts w:cs="Arial"/>
      <w:color w:val="0B1C32"/>
      <w:sz w:val="24"/>
      <w:szCs w:val="24"/>
    </w:rPr>
  </w:style>
  <w:style w:type="character" w:styleId="EndnoteReference">
    <w:name w:val="endnote reference"/>
    <w:basedOn w:val="DefaultParagraphFont"/>
    <w:uiPriority w:val="99"/>
    <w:semiHidden/>
    <w:unhideWhenUsed/>
    <w:rsid w:val="00374832"/>
    <w:rPr>
      <w:vertAlign w:val="superscript"/>
    </w:rPr>
  </w:style>
  <w:style w:type="paragraph" w:customStyle="1" w:styleId="RecommendationsStyle">
    <w:name w:val="Recommendations Style"/>
    <w:basedOn w:val="Normal"/>
    <w:uiPriority w:val="2"/>
    <w:semiHidden/>
    <w:qFormat/>
    <w:locked/>
    <w:rsid w:val="00877DFC"/>
    <w:pPr>
      <w:pBdr>
        <w:top w:val="single" w:sz="4" w:space="1" w:color="000000"/>
        <w:left w:val="single" w:sz="4" w:space="4" w:color="000000"/>
        <w:bottom w:val="single" w:sz="4" w:space="1" w:color="000000"/>
        <w:right w:val="single" w:sz="4" w:space="4" w:color="000000"/>
      </w:pBdr>
      <w:shd w:val="clear" w:color="auto" w:fill="DEEAF6" w:themeFill="accent1" w:themeFillTint="33"/>
      <w:tabs>
        <w:tab w:val="num" w:pos="0"/>
      </w:tabs>
      <w:ind w:right="238"/>
    </w:pPr>
  </w:style>
  <w:style w:type="paragraph" w:customStyle="1" w:styleId="NumPara">
    <w:name w:val="Num Para"/>
    <w:basedOn w:val="NumHead2"/>
    <w:link w:val="NumParaChar"/>
    <w:uiPriority w:val="2"/>
    <w:semiHidden/>
    <w:locked/>
    <w:rsid w:val="00CD5910"/>
    <w:rPr>
      <w:b w:val="0"/>
    </w:rPr>
  </w:style>
  <w:style w:type="character" w:customStyle="1" w:styleId="ListParagraphChar">
    <w:name w:val="List Paragraph Char"/>
    <w:aliases w:val="Bullets Char"/>
    <w:basedOn w:val="DefaultParagraphFont"/>
    <w:link w:val="ListParagraph"/>
    <w:uiPriority w:val="34"/>
    <w:locked/>
    <w:rsid w:val="00BF1E40"/>
    <w:rPr>
      <w:rFonts w:cs="Arial"/>
      <w:color w:val="000000" w:themeColor="text1"/>
      <w:sz w:val="24"/>
      <w:szCs w:val="24"/>
    </w:rPr>
  </w:style>
  <w:style w:type="paragraph" w:customStyle="1" w:styleId="Default">
    <w:name w:val="Default"/>
    <w:semiHidden/>
    <w:locked/>
    <w:rsid w:val="00B14F91"/>
    <w:pPr>
      <w:autoSpaceDE w:val="0"/>
      <w:autoSpaceDN w:val="0"/>
      <w:adjustRightInd w:val="0"/>
      <w:spacing w:line="240" w:lineRule="auto"/>
    </w:pPr>
    <w:rPr>
      <w:rFonts w:ascii="Agenda" w:hAnsi="Agenda" w:cs="Agenda"/>
      <w:color w:val="000000"/>
      <w:sz w:val="24"/>
      <w:szCs w:val="24"/>
    </w:rPr>
  </w:style>
  <w:style w:type="character" w:customStyle="1" w:styleId="eop">
    <w:name w:val="eop"/>
    <w:basedOn w:val="DefaultParagraphFont"/>
    <w:semiHidden/>
    <w:locked/>
    <w:rsid w:val="00B14F91"/>
  </w:style>
  <w:style w:type="character" w:styleId="Emphasis">
    <w:name w:val="Emphasis"/>
    <w:basedOn w:val="DefaultParagraphFont"/>
    <w:uiPriority w:val="20"/>
    <w:semiHidden/>
    <w:qFormat/>
    <w:locked/>
    <w:rsid w:val="00B14F91"/>
    <w:rPr>
      <w:i/>
      <w:iCs/>
    </w:rPr>
  </w:style>
  <w:style w:type="character" w:styleId="UnresolvedMention">
    <w:name w:val="Unresolved Mention"/>
    <w:basedOn w:val="DefaultParagraphFont"/>
    <w:uiPriority w:val="99"/>
    <w:semiHidden/>
    <w:unhideWhenUsed/>
    <w:locked/>
    <w:rsid w:val="00CB7E14"/>
    <w:rPr>
      <w:color w:val="605E5C"/>
      <w:shd w:val="clear" w:color="auto" w:fill="E1DFDD"/>
    </w:rPr>
  </w:style>
  <w:style w:type="character" w:customStyle="1" w:styleId="Heading4Char">
    <w:name w:val="Heading 4 Char"/>
    <w:basedOn w:val="DefaultParagraphFont"/>
    <w:link w:val="Heading4"/>
    <w:rsid w:val="003F5079"/>
    <w:rPr>
      <w:rFonts w:eastAsiaTheme="majorEastAsia" w:cs="Arial"/>
      <w:b/>
      <w:iCs/>
      <w:color w:val="000000" w:themeColor="text1"/>
      <w:u w:val="single"/>
    </w:rPr>
  </w:style>
  <w:style w:type="character" w:styleId="FollowedHyperlink">
    <w:name w:val="FollowedHyperlink"/>
    <w:basedOn w:val="DefaultParagraphFont"/>
    <w:uiPriority w:val="99"/>
    <w:semiHidden/>
    <w:unhideWhenUsed/>
    <w:locked/>
    <w:rsid w:val="009D2ADC"/>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1846AC"/>
    <w:rPr>
      <w:b/>
      <w:bCs/>
      <w:szCs w:val="20"/>
      <w:lang w:val="en-GB"/>
    </w:rPr>
  </w:style>
  <w:style w:type="character" w:customStyle="1" w:styleId="CommentSubjectChar">
    <w:name w:val="Comment Subject Char"/>
    <w:basedOn w:val="CommentTextChar"/>
    <w:link w:val="CommentSubject"/>
    <w:uiPriority w:val="99"/>
    <w:semiHidden/>
    <w:rsid w:val="001846AC"/>
    <w:rPr>
      <w:rFonts w:ascii="Arial" w:eastAsia="Times New Roman" w:hAnsi="Arial" w:cs="Arial"/>
      <w:b/>
      <w:bCs/>
      <w:sz w:val="20"/>
      <w:szCs w:val="20"/>
      <w:lang w:val="x-none"/>
    </w:rPr>
  </w:style>
  <w:style w:type="character" w:customStyle="1" w:styleId="Heading5Char">
    <w:name w:val="Heading 5 Char"/>
    <w:basedOn w:val="DefaultParagraphFont"/>
    <w:link w:val="Heading5"/>
    <w:rsid w:val="003F5079"/>
    <w:rPr>
      <w:rFonts w:eastAsiaTheme="majorEastAsia" w:cs="Arial"/>
      <w:color w:val="000000" w:themeColor="text1"/>
      <w:u w:val="single"/>
    </w:rPr>
  </w:style>
  <w:style w:type="character" w:customStyle="1" w:styleId="Heading6Char">
    <w:name w:val="Heading 6 Char"/>
    <w:basedOn w:val="DefaultParagraphFont"/>
    <w:link w:val="Heading6"/>
    <w:semiHidden/>
    <w:rsid w:val="003F5079"/>
    <w:rPr>
      <w:rFonts w:eastAsiaTheme="majorEastAsia" w:cs="Arial"/>
      <w:color w:val="FFFFFF" w:themeColor="background1"/>
      <w:sz w:val="24"/>
      <w:szCs w:val="24"/>
      <w:shd w:val="solid" w:color="0B1C32" w:fill="0B1C32"/>
    </w:rPr>
  </w:style>
  <w:style w:type="paragraph" w:customStyle="1" w:styleId="Bullet">
    <w:name w:val="Bullet"/>
    <w:basedOn w:val="ListParagraph"/>
    <w:next w:val="Normal"/>
    <w:autoRedefine/>
    <w:semiHidden/>
    <w:qFormat/>
    <w:locked/>
    <w:rsid w:val="00FB4DB0"/>
    <w:pPr>
      <w:numPr>
        <w:numId w:val="40"/>
      </w:numPr>
      <w:tabs>
        <w:tab w:val="left" w:pos="360"/>
        <w:tab w:val="left" w:pos="1080"/>
        <w:tab w:val="left" w:pos="1800"/>
        <w:tab w:val="left" w:pos="3240"/>
      </w:tabs>
      <w:spacing w:before="120" w:after="120" w:line="276" w:lineRule="auto"/>
      <w:ind w:left="714" w:hanging="357"/>
      <w:contextualSpacing w:val="0"/>
    </w:pPr>
    <w:rPr>
      <w:kern w:val="2"/>
      <w14:ligatures w14:val="standardContextual"/>
    </w:rPr>
  </w:style>
  <w:style w:type="character" w:customStyle="1" w:styleId="NumParaChar">
    <w:name w:val="Num Para Char"/>
    <w:basedOn w:val="NumHead2Char"/>
    <w:link w:val="NumPara"/>
    <w:uiPriority w:val="2"/>
    <w:semiHidden/>
    <w:rsid w:val="00032DC1"/>
    <w:rPr>
      <w:rFonts w:cs="Arial"/>
      <w:b w:val="0"/>
      <w:color w:val="FFFFFF" w:themeColor="background1"/>
      <w:shd w:val="clear" w:color="auto" w:fill="0B1C32"/>
    </w:rPr>
  </w:style>
  <w:style w:type="paragraph" w:customStyle="1" w:styleId="Bullet2">
    <w:name w:val="Bullet 2"/>
    <w:basedOn w:val="ListParagraph"/>
    <w:link w:val="Bullet2Char"/>
    <w:autoRedefine/>
    <w:uiPriority w:val="1"/>
    <w:qFormat/>
    <w:rsid w:val="00D34708"/>
    <w:pPr>
      <w:numPr>
        <w:numId w:val="39"/>
      </w:numPr>
      <w:spacing w:before="120" w:after="120" w:line="276" w:lineRule="auto"/>
      <w:ind w:left="2154" w:hanging="357"/>
      <w:contextualSpacing w:val="0"/>
    </w:pPr>
    <w:rPr>
      <w:kern w:val="2"/>
      <w14:ligatures w14:val="standardContextual"/>
    </w:rPr>
  </w:style>
  <w:style w:type="paragraph" w:customStyle="1" w:styleId="Numberedlistheading1">
    <w:name w:val="Numbered list heading 1"/>
    <w:basedOn w:val="ListParagraph"/>
    <w:autoRedefine/>
    <w:uiPriority w:val="1"/>
    <w:semiHidden/>
    <w:qFormat/>
    <w:locked/>
    <w:rsid w:val="00E963F6"/>
    <w:pPr>
      <w:numPr>
        <w:numId w:val="0"/>
      </w:numPr>
      <w:spacing w:line="240" w:lineRule="auto"/>
      <w:ind w:left="716" w:hanging="432"/>
      <w:contextualSpacing w:val="0"/>
    </w:pPr>
    <w:rPr>
      <w:rFonts w:ascii="Noto Sans" w:hAnsi="Noto Sans"/>
      <w:kern w:val="2"/>
      <w14:ligatures w14:val="standardContextual"/>
    </w:rPr>
  </w:style>
  <w:style w:type="paragraph" w:customStyle="1" w:styleId="Numberedlistheading2">
    <w:name w:val="Numbered list heading 2"/>
    <w:basedOn w:val="ListParagraph"/>
    <w:autoRedefine/>
    <w:uiPriority w:val="1"/>
    <w:semiHidden/>
    <w:qFormat/>
    <w:locked/>
    <w:rsid w:val="00E963F6"/>
    <w:pPr>
      <w:numPr>
        <w:numId w:val="0"/>
      </w:numPr>
      <w:spacing w:line="240" w:lineRule="auto"/>
      <w:ind w:left="1224" w:hanging="504"/>
      <w:contextualSpacing w:val="0"/>
    </w:pPr>
    <w:rPr>
      <w:rFonts w:ascii="Noto Sans" w:hAnsi="Noto Sans"/>
      <w:kern w:val="2"/>
      <w14:ligatures w14:val="standardContextual"/>
    </w:rPr>
  </w:style>
  <w:style w:type="paragraph" w:customStyle="1" w:styleId="Numberedlistheading3">
    <w:name w:val="Numbered list heading 3"/>
    <w:basedOn w:val="ListParagraph"/>
    <w:uiPriority w:val="1"/>
    <w:semiHidden/>
    <w:qFormat/>
    <w:locked/>
    <w:rsid w:val="00E963F6"/>
    <w:pPr>
      <w:numPr>
        <w:numId w:val="0"/>
      </w:numPr>
      <w:spacing w:line="240" w:lineRule="auto"/>
      <w:ind w:left="1728" w:hanging="648"/>
      <w:contextualSpacing w:val="0"/>
    </w:pPr>
    <w:rPr>
      <w:rFonts w:ascii="Noto Sans" w:hAnsi="Noto Sans"/>
      <w:kern w:val="2"/>
      <w14:ligatures w14:val="standardContextual"/>
    </w:rPr>
  </w:style>
  <w:style w:type="paragraph" w:customStyle="1" w:styleId="Quotes">
    <w:name w:val="Quotes"/>
    <w:basedOn w:val="RecommendationsStyle"/>
    <w:link w:val="QuotesChar"/>
    <w:uiPriority w:val="1"/>
    <w:qFormat/>
    <w:rsid w:val="00B91477"/>
    <w:pPr>
      <w:shd w:val="clear" w:color="auto" w:fill="DEEAF6"/>
    </w:pPr>
  </w:style>
  <w:style w:type="character" w:customStyle="1" w:styleId="QuotesChar">
    <w:name w:val="Quotes Char"/>
    <w:basedOn w:val="DefaultParagraphFont"/>
    <w:link w:val="Quotes"/>
    <w:uiPriority w:val="1"/>
    <w:rsid w:val="00032DC1"/>
    <w:rPr>
      <w:rFonts w:cs="Arial"/>
      <w:color w:val="0B1C32"/>
      <w:sz w:val="24"/>
      <w:szCs w:val="24"/>
      <w:shd w:val="clear" w:color="auto" w:fill="DEEAF6"/>
    </w:rPr>
  </w:style>
  <w:style w:type="paragraph" w:styleId="TOC4">
    <w:name w:val="toc 4"/>
    <w:basedOn w:val="Normal"/>
    <w:next w:val="Normal"/>
    <w:autoRedefine/>
    <w:uiPriority w:val="39"/>
    <w:unhideWhenUsed/>
    <w:locked/>
    <w:rsid w:val="00433710"/>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locked/>
    <w:rsid w:val="00433710"/>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locked/>
    <w:rsid w:val="00433710"/>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locked/>
    <w:rsid w:val="00433710"/>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locked/>
    <w:rsid w:val="00433710"/>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locked/>
    <w:rsid w:val="00433710"/>
    <w:pPr>
      <w:spacing w:before="0" w:after="0"/>
      <w:ind w:left="1920"/>
    </w:pPr>
    <w:rPr>
      <w:rFonts w:asciiTheme="minorHAnsi" w:hAnsiTheme="minorHAnsi" w:cstheme="minorHAnsi"/>
      <w:sz w:val="20"/>
      <w:szCs w:val="20"/>
    </w:rPr>
  </w:style>
  <w:style w:type="paragraph" w:customStyle="1" w:styleId="Tableheader">
    <w:name w:val="Table header"/>
    <w:basedOn w:val="Bullet2"/>
    <w:uiPriority w:val="3"/>
    <w:semiHidden/>
    <w:qFormat/>
    <w:rsid w:val="00362F45"/>
    <w:pPr>
      <w:numPr>
        <w:numId w:val="0"/>
      </w:numPr>
      <w:shd w:val="clear" w:color="auto" w:fill="0B1C32"/>
    </w:pPr>
    <w:rPr>
      <w:b/>
      <w:bCs/>
      <w:color w:val="FFFFFF" w:themeColor="background1"/>
    </w:rPr>
  </w:style>
  <w:style w:type="paragraph" w:customStyle="1" w:styleId="Bullet1">
    <w:name w:val="Bullet 1"/>
    <w:basedOn w:val="Bullet2"/>
    <w:link w:val="Bullet1Char"/>
    <w:uiPriority w:val="1"/>
    <w:qFormat/>
    <w:rsid w:val="00771FE1"/>
    <w:pPr>
      <w:numPr>
        <w:numId w:val="41"/>
      </w:numPr>
      <w:spacing w:before="240" w:after="240"/>
      <w:ind w:left="1077" w:hanging="357"/>
    </w:pPr>
  </w:style>
  <w:style w:type="character" w:customStyle="1" w:styleId="Bullet2Char">
    <w:name w:val="Bullet 2 Char"/>
    <w:basedOn w:val="ListParagraphChar"/>
    <w:link w:val="Bullet2"/>
    <w:uiPriority w:val="1"/>
    <w:rsid w:val="00D34708"/>
    <w:rPr>
      <w:rFonts w:cs="Arial"/>
      <w:color w:val="0B1C32"/>
      <w:kern w:val="2"/>
      <w:sz w:val="24"/>
      <w:szCs w:val="24"/>
      <w14:ligatures w14:val="standardContextual"/>
    </w:rPr>
  </w:style>
  <w:style w:type="character" w:customStyle="1" w:styleId="Bullet1Char">
    <w:name w:val="Bullet 1 Char"/>
    <w:basedOn w:val="Bullet2Char"/>
    <w:link w:val="Bullet1"/>
    <w:uiPriority w:val="1"/>
    <w:rsid w:val="00032DC1"/>
    <w:rPr>
      <w:rFonts w:cs="Arial"/>
      <w:color w:val="0B1C32"/>
      <w:kern w:val="2"/>
      <w:sz w:val="24"/>
      <w:szCs w:val="24"/>
      <w14:ligatures w14:val="standardContextual"/>
    </w:rPr>
  </w:style>
  <w:style w:type="paragraph" w:customStyle="1" w:styleId="Tablenormal0">
    <w:name w:val="Table normal"/>
    <w:basedOn w:val="Normal"/>
    <w:link w:val="TablenormalChar"/>
    <w:uiPriority w:val="2"/>
    <w:qFormat/>
    <w:rsid w:val="00F373FC"/>
    <w:pPr>
      <w:spacing w:before="120" w:after="120"/>
    </w:pPr>
  </w:style>
  <w:style w:type="character" w:customStyle="1" w:styleId="TablenormalChar">
    <w:name w:val="Table normal Char"/>
    <w:basedOn w:val="DefaultParagraphFont"/>
    <w:link w:val="Tablenormal0"/>
    <w:uiPriority w:val="2"/>
    <w:rsid w:val="00032DC1"/>
    <w:rPr>
      <w:rFonts w:cs="Arial"/>
      <w:color w:val="0B1C32"/>
      <w:sz w:val="24"/>
      <w:szCs w:val="24"/>
    </w:rPr>
  </w:style>
  <w:style w:type="character" w:styleId="PlaceholderText">
    <w:name w:val="Placeholder Text"/>
    <w:basedOn w:val="DefaultParagraphFont"/>
    <w:uiPriority w:val="99"/>
    <w:semiHidden/>
    <w:locked/>
    <w:rsid w:val="00654C86"/>
    <w:rPr>
      <w:color w:val="666666"/>
    </w:rPr>
  </w:style>
  <w:style w:type="paragraph" w:customStyle="1" w:styleId="Highlight">
    <w:name w:val="Highlight"/>
    <w:basedOn w:val="Normal"/>
    <w:link w:val="HighlightChar"/>
    <w:uiPriority w:val="1"/>
    <w:qFormat/>
    <w:rsid w:val="00F373FC"/>
    <w:pPr>
      <w:shd w:val="clear" w:color="auto" w:fill="FFFF00"/>
    </w:pPr>
  </w:style>
  <w:style w:type="character" w:customStyle="1" w:styleId="HighlightChar">
    <w:name w:val="Highlight Char"/>
    <w:basedOn w:val="DefaultParagraphFont"/>
    <w:link w:val="Highlight"/>
    <w:uiPriority w:val="1"/>
    <w:rsid w:val="00032DC1"/>
    <w:rPr>
      <w:rFonts w:cs="Arial"/>
      <w:color w:val="0B1C32"/>
      <w:sz w:val="24"/>
      <w:szCs w:val="24"/>
      <w:shd w:val="clear" w:color="auto" w:fill="FFFF00"/>
    </w:rPr>
  </w:style>
  <w:style w:type="paragraph" w:customStyle="1" w:styleId="Italics">
    <w:name w:val="Italics"/>
    <w:basedOn w:val="Normal"/>
    <w:next w:val="Normal"/>
    <w:link w:val="ItalicsChar"/>
    <w:uiPriority w:val="1"/>
    <w:qFormat/>
    <w:rsid w:val="00F373FC"/>
    <w:rPr>
      <w:i/>
    </w:rPr>
  </w:style>
  <w:style w:type="character" w:customStyle="1" w:styleId="ItalicsChar">
    <w:name w:val="Italics Char"/>
    <w:basedOn w:val="DefaultParagraphFont"/>
    <w:link w:val="Italics"/>
    <w:uiPriority w:val="1"/>
    <w:rsid w:val="00032DC1"/>
    <w:rPr>
      <w:rFonts w:cs="Arial"/>
      <w:i/>
      <w:color w:val="0B1C32"/>
      <w:sz w:val="24"/>
      <w:szCs w:val="24"/>
    </w:rPr>
  </w:style>
  <w:style w:type="table" w:styleId="GridTable1Light">
    <w:name w:val="Grid Table 1 Light"/>
    <w:basedOn w:val="TableNormal"/>
    <w:uiPriority w:val="46"/>
    <w:rsid w:val="000C45D7"/>
    <w:pPr>
      <w:spacing w:line="240" w:lineRule="auto"/>
    </w:pPr>
    <w:rPr>
      <w:color w:val="DEEAF6" w:themeColor="accent1" w:themeTint="33"/>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ate">
    <w:name w:val="Date"/>
    <w:basedOn w:val="Normal"/>
    <w:next w:val="Normal"/>
    <w:link w:val="DateChar"/>
    <w:uiPriority w:val="99"/>
    <w:unhideWhenUsed/>
    <w:locked/>
    <w:rsid w:val="00802AAE"/>
  </w:style>
  <w:style w:type="character" w:customStyle="1" w:styleId="DateChar">
    <w:name w:val="Date Char"/>
    <w:basedOn w:val="DefaultParagraphFont"/>
    <w:link w:val="Date"/>
    <w:uiPriority w:val="99"/>
    <w:rsid w:val="00802AAE"/>
    <w:rPr>
      <w:rFonts w:cs="Arial"/>
      <w:color w:val="0B1C32"/>
      <w:sz w:val="24"/>
      <w:szCs w:val="24"/>
    </w:rPr>
  </w:style>
  <w:style w:type="paragraph" w:customStyle="1" w:styleId="MonthandYear">
    <w:name w:val="Month and Year"/>
    <w:basedOn w:val="Normal"/>
    <w:link w:val="MonthandYearChar"/>
    <w:qFormat/>
    <w:rsid w:val="00802AAE"/>
    <w:rPr>
      <w:b/>
      <w:sz w:val="28"/>
    </w:rPr>
  </w:style>
  <w:style w:type="character" w:customStyle="1" w:styleId="MonthandYearChar">
    <w:name w:val="Month and Year Char"/>
    <w:basedOn w:val="DateChar"/>
    <w:link w:val="MonthandYear"/>
    <w:rsid w:val="00802AAE"/>
    <w:rPr>
      <w:rFonts w:cs="Arial"/>
      <w:b/>
      <w:color w:val="0B1C32"/>
      <w:sz w:val="24"/>
      <w:szCs w:val="24"/>
    </w:rPr>
  </w:style>
  <w:style w:type="paragraph" w:customStyle="1" w:styleId="Quotes2">
    <w:name w:val="Quotes 2"/>
    <w:basedOn w:val="Normal"/>
    <w:link w:val="Quotes2Char"/>
    <w:uiPriority w:val="2"/>
    <w:qFormat/>
    <w:rsid w:val="00184155"/>
    <w:pPr>
      <w:pBdr>
        <w:top w:val="single" w:sz="48" w:space="1" w:color="0B1C32"/>
        <w:left w:val="single" w:sz="48" w:space="4" w:color="0B1C32"/>
        <w:bottom w:val="single" w:sz="48" w:space="1" w:color="0B1C32"/>
        <w:right w:val="single" w:sz="48" w:space="4" w:color="0B1C32"/>
      </w:pBdr>
      <w:shd w:val="clear" w:color="auto" w:fill="0B1C32"/>
    </w:pPr>
    <w:rPr>
      <w:color w:val="FFFFFF" w:themeColor="background1"/>
    </w:rPr>
  </w:style>
  <w:style w:type="character" w:customStyle="1" w:styleId="Quotes2Char">
    <w:name w:val="Quotes 2 Char"/>
    <w:basedOn w:val="DefaultParagraphFont"/>
    <w:link w:val="Quotes2"/>
    <w:uiPriority w:val="2"/>
    <w:rsid w:val="00184155"/>
    <w:rPr>
      <w:rFonts w:cs="Arial"/>
      <w:color w:val="FFFFFF" w:themeColor="background1"/>
      <w:sz w:val="24"/>
      <w:szCs w:val="24"/>
      <w:shd w:val="clear" w:color="auto" w:fill="0B1C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9425">
      <w:bodyDiv w:val="1"/>
      <w:marLeft w:val="0"/>
      <w:marRight w:val="0"/>
      <w:marTop w:val="0"/>
      <w:marBottom w:val="0"/>
      <w:divBdr>
        <w:top w:val="none" w:sz="0" w:space="0" w:color="auto"/>
        <w:left w:val="none" w:sz="0" w:space="0" w:color="auto"/>
        <w:bottom w:val="none" w:sz="0" w:space="0" w:color="auto"/>
        <w:right w:val="none" w:sz="0" w:space="0" w:color="auto"/>
      </w:divBdr>
    </w:div>
    <w:div w:id="16914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scottishhumanrights.com/projects-and-programmes/spotlight-projects/cultural-recognition-of-scotlands-gypsy-travellers/" TargetMode="External"/><Relationship Id="rId2" Type="http://schemas.openxmlformats.org/officeDocument/2006/relationships/hyperlink" Target="https://www.scottishhumanrights.com/media/2998/participation-strategy-2024-28.pdf" TargetMode="External"/><Relationship Id="rId1" Type="http://schemas.openxmlformats.org/officeDocument/2006/relationships/hyperlink" Target="https://www.parliament.scot/api/sitecore/CustomMedia/OfficialReport?meetingId=5881."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cottishhumanrights.com" TargetMode="External"/><Relationship Id="rId5" Type="http://schemas.openxmlformats.org/officeDocument/2006/relationships/image" Target="media/image5.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http://www.scottishhumanrights.com" TargetMode="External"/><Relationship Id="rId5" Type="http://schemas.openxmlformats.org/officeDocument/2006/relationships/image" Target="media/image1.jpeg"/><Relationship Id="rId4"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1.%20Quick%20Find\4.%20Corporate%20Templates%20and%20Logos\3.%20Executive%20Summaries,%20Statements%20&amp;%20other%20short%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7533-61FD-444A-AF4B-DAC8CF85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Executive Summaries, Statements &amp; other short documents</Template>
  <TotalTime>1</TotalTime>
  <Pages>8</Pages>
  <Words>2168</Words>
  <Characters>11928</Characters>
  <Application>Microsoft Office Word</Application>
  <DocSecurity>0</DocSecurity>
  <Lines>216</Lines>
  <Paragraphs>77</Paragraphs>
  <ScaleCrop>false</ScaleCrop>
  <HeadingPairs>
    <vt:vector size="2" baseType="variant">
      <vt:variant>
        <vt:lpstr>Title</vt:lpstr>
      </vt:variant>
      <vt:variant>
        <vt:i4>1</vt:i4>
      </vt:variant>
    </vt:vector>
  </HeadingPairs>
  <TitlesOfParts>
    <vt:vector size="1" baseType="lpstr">
      <vt:lpstr>Executive summary: “No man’s land” A human rights assessment of the ‘Tinker Experiment’ and redress for its victims</vt:lpstr>
    </vt:vector>
  </TitlesOfParts>
  <Company>Scottish Government</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“No man’s land” A human rights assessment of the ‘Tinker Experiment’ and redress for its victims</dc:title>
  <dc:subject/>
  <dc:creator>The Scottish Human Rights Commission</dc:creator>
  <cp:keywords/>
  <dc:description/>
  <cp:lastModifiedBy>Megan Strickland</cp:lastModifiedBy>
  <cp:revision>4</cp:revision>
  <cp:lastPrinted>2024-04-30T16:06:00Z</cp:lastPrinted>
  <dcterms:created xsi:type="dcterms:W3CDTF">2026-01-27T18:31:00Z</dcterms:created>
  <dcterms:modified xsi:type="dcterms:W3CDTF">2026-01-27T18:31:00Z</dcterms:modified>
</cp:coreProperties>
</file>