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D0DC0" w14:textId="41785225" w:rsidR="00A536D9" w:rsidRPr="00302A27" w:rsidRDefault="00FD75E0" w:rsidP="007F17DE">
      <w:pPr>
        <w:pStyle w:val="Heading1"/>
      </w:pPr>
      <w:bookmarkStart w:id="0" w:name="_Toc167112813"/>
      <w:r>
        <w:t>Scotland</w:t>
      </w:r>
      <w:r w:rsidR="001D3769">
        <w:t xml:space="preserve">’s </w:t>
      </w:r>
      <w:r w:rsidR="00552DBD" w:rsidRPr="00302A27">
        <w:t>Open Budget Survey 2023</w:t>
      </w:r>
      <w:bookmarkEnd w:id="0"/>
      <w:r w:rsidR="00552DBD" w:rsidRPr="00302A27">
        <w:t xml:space="preserve"> </w:t>
      </w:r>
    </w:p>
    <w:p w14:paraId="75355896" w14:textId="1699DD87" w:rsidR="00A536D9" w:rsidRPr="00302A27" w:rsidRDefault="00552DBD" w:rsidP="007F17DE">
      <w:pPr>
        <w:rPr>
          <w:b/>
          <w:bCs/>
          <w:sz w:val="32"/>
          <w:szCs w:val="32"/>
        </w:rPr>
      </w:pPr>
      <w:r w:rsidRPr="00302A27">
        <w:rPr>
          <w:b/>
          <w:bCs/>
          <w:sz w:val="32"/>
          <w:szCs w:val="32"/>
        </w:rPr>
        <w:t>M</w:t>
      </w:r>
      <w:r w:rsidR="00A536D9" w:rsidRPr="00302A27">
        <w:rPr>
          <w:b/>
          <w:bCs/>
          <w:sz w:val="32"/>
          <w:szCs w:val="32"/>
        </w:rPr>
        <w:t>a</w:t>
      </w:r>
      <w:r w:rsidRPr="00302A27">
        <w:rPr>
          <w:b/>
          <w:bCs/>
          <w:sz w:val="32"/>
          <w:szCs w:val="32"/>
        </w:rPr>
        <w:t>y 2024</w:t>
      </w:r>
    </w:p>
    <w:p w14:paraId="1A946A88" w14:textId="77777777" w:rsidR="00CE7347" w:rsidRPr="00CE7347" w:rsidRDefault="003C47B8" w:rsidP="007F17DE">
      <w:r>
        <w:pict w14:anchorId="5081EE37">
          <v:rect id="_x0000_i1025" style="width:0;height:1.5pt" o:hralign="center" o:hrstd="t" o:hr="t" fillcolor="#a0a0a0" stroked="f"/>
        </w:pict>
      </w:r>
    </w:p>
    <w:p w14:paraId="4AC79695" w14:textId="334DA811" w:rsidR="009D3B69" w:rsidRDefault="009D3B69" w:rsidP="007F17DE">
      <w:r w:rsidRPr="00DC4CF3">
        <w:t>The Scottish Human Rights</w:t>
      </w:r>
      <w:r w:rsidR="00E74B9F">
        <w:t xml:space="preserve"> Commission was established by t</w:t>
      </w:r>
      <w:r w:rsidRPr="00DC4CF3">
        <w:t>he Scottish Commission for Human Right</w:t>
      </w:r>
      <w:r w:rsidR="00602CF5">
        <w:t>s Act 2006 and formed in 2008.</w:t>
      </w:r>
      <w:r w:rsidR="00E74B9F">
        <w:t xml:space="preserve"> The Commission is the National Human Rights I</w:t>
      </w:r>
      <w:r w:rsidRPr="00DC4CF3">
        <w:t xml:space="preserve">nstitution for Scotland and is independent of the </w:t>
      </w:r>
      <w:r w:rsidR="00881916">
        <w:t>Scottish Government</w:t>
      </w:r>
      <w:r w:rsidRPr="00DC4CF3">
        <w:t xml:space="preserve"> and Parliament in</w:t>
      </w:r>
      <w:r w:rsidR="00E74B9F">
        <w:t xml:space="preserve"> the exercise of its functions.</w:t>
      </w:r>
      <w:r w:rsidRPr="00DC4CF3">
        <w:t xml:space="preserve"> The Commission has a general duty to promote human rights and a series of specific powers to protect human r</w:t>
      </w:r>
      <w:r w:rsidR="00602CF5">
        <w:t>ights for everyone in Scotland.</w:t>
      </w:r>
    </w:p>
    <w:p w14:paraId="7F84DAFB" w14:textId="766B5996" w:rsidR="00791164" w:rsidRPr="008D4039" w:rsidRDefault="00A6275B" w:rsidP="007F17DE">
      <w:pPr>
        <w:rPr>
          <w:rFonts w:cs="Arial"/>
        </w:rPr>
      </w:pPr>
      <w:r w:rsidRPr="00487DAB">
        <w:t xml:space="preserve">This report has been developed by the Scottish Human Rights Commission, with support from the </w:t>
      </w:r>
      <w:r w:rsidR="00D93AC2" w:rsidRPr="00D916CD">
        <w:rPr>
          <w:rFonts w:cs="Arial"/>
        </w:rPr>
        <w:t>Health and Social Care Alliance Scotland (the ALLIANCE)</w:t>
      </w:r>
      <w:r w:rsidR="00115F4B">
        <w:rPr>
          <w:rFonts w:cs="Arial"/>
        </w:rPr>
        <w:t xml:space="preserve"> </w:t>
      </w:r>
      <w:r w:rsidRPr="00487DAB">
        <w:t>and a range of academic partners, as part of a Human Rights Budget Work project</w:t>
      </w:r>
      <w:r w:rsidR="004759CF">
        <w:rPr>
          <w:rStyle w:val="EndnoteReference"/>
        </w:rPr>
        <w:endnoteReference w:id="2"/>
      </w:r>
      <w:r w:rsidRPr="00487DAB">
        <w:t>.</w:t>
      </w:r>
      <w:r w:rsidR="00791164">
        <w:t xml:space="preserve"> </w:t>
      </w:r>
      <w:r w:rsidR="00791164">
        <w:rPr>
          <w:rFonts w:cs="Arial"/>
        </w:rPr>
        <w:t>The research was conducted by Kirstie Ken English on behalf of the Commission.</w:t>
      </w:r>
    </w:p>
    <w:p w14:paraId="2B8F90E8" w14:textId="26D1BE61" w:rsidR="00A6275B" w:rsidRPr="00487DAB" w:rsidRDefault="00A6275B" w:rsidP="007F17DE"/>
    <w:p w14:paraId="2A7336C2" w14:textId="77777777" w:rsidR="00E74B9F" w:rsidRDefault="00E74B9F" w:rsidP="007F17DE">
      <w:pPr>
        <w:jc w:val="center"/>
      </w:pPr>
      <w:r>
        <w:t>www.scottishhumanrights.com</w:t>
      </w:r>
    </w:p>
    <w:p w14:paraId="21087D35" w14:textId="77777777" w:rsidR="008F6182" w:rsidRDefault="003C47B8" w:rsidP="007F17DE">
      <w:r>
        <w:pict w14:anchorId="239C83EE">
          <v:rect id="_x0000_i1026" style="width:0;height:1.5pt" o:hralign="center" o:hrstd="t" o:hr="t" fillcolor="#a0a0a0" stroked="f"/>
        </w:pict>
      </w:r>
    </w:p>
    <w:p w14:paraId="4A81E088" w14:textId="77777777" w:rsidR="001314C0" w:rsidRDefault="001314C0" w:rsidP="007F17DE">
      <w:r>
        <w:br w:type="page"/>
      </w:r>
    </w:p>
    <w:p w14:paraId="5FC4001A" w14:textId="329E0D7E" w:rsidR="00E7027A" w:rsidRPr="00302A27" w:rsidRDefault="00302A27" w:rsidP="007F17DE">
      <w:pPr>
        <w:pStyle w:val="TOCHeading"/>
        <w:spacing w:after="240" w:line="276" w:lineRule="auto"/>
        <w:rPr>
          <w:sz w:val="40"/>
          <w:szCs w:val="40"/>
        </w:rPr>
      </w:pPr>
      <w:r w:rsidRPr="00302A27">
        <w:rPr>
          <w:sz w:val="40"/>
          <w:szCs w:val="40"/>
        </w:rPr>
        <w:lastRenderedPageBreak/>
        <w:t>Table of Contents</w:t>
      </w:r>
    </w:p>
    <w:p w14:paraId="39200BA9" w14:textId="068C6288" w:rsidR="004F4C76" w:rsidRDefault="00690547">
      <w:pPr>
        <w:pStyle w:val="TOC1"/>
        <w:tabs>
          <w:tab w:val="right" w:leader="dot" w:pos="9323"/>
        </w:tabs>
        <w:rPr>
          <w:rFonts w:asciiTheme="minorHAnsi" w:eastAsiaTheme="minorEastAsia" w:hAnsiTheme="minorHAnsi"/>
          <w:noProof/>
          <w:color w:val="auto"/>
          <w:kern w:val="2"/>
          <w:sz w:val="22"/>
          <w:szCs w:val="22"/>
          <w:lang w:eastAsia="en-GB"/>
          <w14:ligatures w14:val="standardContextual"/>
        </w:rPr>
      </w:pPr>
      <w:r>
        <w:fldChar w:fldCharType="begin"/>
      </w:r>
      <w:r>
        <w:instrText xml:space="preserve"> TOC \h \z \t "Heading 2,1,Heading 3,2,Num Head1,1,Num Head2,2,Num Head3,3" </w:instrText>
      </w:r>
      <w:r>
        <w:fldChar w:fldCharType="separate"/>
      </w:r>
      <w:hyperlink w:anchor="_Toc167782845" w:history="1">
        <w:r w:rsidR="004F4C76" w:rsidRPr="00F07BDC">
          <w:rPr>
            <w:rStyle w:val="Hyperlink"/>
            <w:noProof/>
          </w:rPr>
          <w:t>Introduction</w:t>
        </w:r>
        <w:r w:rsidR="004F4C76">
          <w:rPr>
            <w:noProof/>
            <w:webHidden/>
          </w:rPr>
          <w:tab/>
        </w:r>
        <w:r w:rsidR="004F4C76">
          <w:rPr>
            <w:noProof/>
            <w:webHidden/>
          </w:rPr>
          <w:fldChar w:fldCharType="begin"/>
        </w:r>
        <w:r w:rsidR="004F4C76">
          <w:rPr>
            <w:noProof/>
            <w:webHidden/>
          </w:rPr>
          <w:instrText xml:space="preserve"> PAGEREF _Toc167782845 \h </w:instrText>
        </w:r>
        <w:r w:rsidR="004F4C76">
          <w:rPr>
            <w:noProof/>
            <w:webHidden/>
          </w:rPr>
        </w:r>
        <w:r w:rsidR="004F4C76">
          <w:rPr>
            <w:noProof/>
            <w:webHidden/>
          </w:rPr>
          <w:fldChar w:fldCharType="separate"/>
        </w:r>
        <w:r w:rsidR="004F4C76">
          <w:rPr>
            <w:noProof/>
            <w:webHidden/>
          </w:rPr>
          <w:t>4</w:t>
        </w:r>
        <w:r w:rsidR="004F4C76">
          <w:rPr>
            <w:noProof/>
            <w:webHidden/>
          </w:rPr>
          <w:fldChar w:fldCharType="end"/>
        </w:r>
      </w:hyperlink>
    </w:p>
    <w:p w14:paraId="1D6C1F6C" w14:textId="69F1F2D1"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46" w:history="1">
        <w:r w:rsidR="004F4C76" w:rsidRPr="00F07BDC">
          <w:rPr>
            <w:rStyle w:val="Hyperlink"/>
            <w:bCs/>
            <w:noProof/>
          </w:rPr>
          <w:t>Budgeting and human rights</w:t>
        </w:r>
        <w:r w:rsidR="004F4C76">
          <w:rPr>
            <w:noProof/>
            <w:webHidden/>
          </w:rPr>
          <w:tab/>
        </w:r>
        <w:r w:rsidR="004F4C76">
          <w:rPr>
            <w:noProof/>
            <w:webHidden/>
          </w:rPr>
          <w:fldChar w:fldCharType="begin"/>
        </w:r>
        <w:r w:rsidR="004F4C76">
          <w:rPr>
            <w:noProof/>
            <w:webHidden/>
          </w:rPr>
          <w:instrText xml:space="preserve"> PAGEREF _Toc167782846 \h </w:instrText>
        </w:r>
        <w:r w:rsidR="004F4C76">
          <w:rPr>
            <w:noProof/>
            <w:webHidden/>
          </w:rPr>
        </w:r>
        <w:r w:rsidR="004F4C76">
          <w:rPr>
            <w:noProof/>
            <w:webHidden/>
          </w:rPr>
          <w:fldChar w:fldCharType="separate"/>
        </w:r>
        <w:r w:rsidR="004F4C76">
          <w:rPr>
            <w:noProof/>
            <w:webHidden/>
          </w:rPr>
          <w:t>4</w:t>
        </w:r>
        <w:r w:rsidR="004F4C76">
          <w:rPr>
            <w:noProof/>
            <w:webHidden/>
          </w:rPr>
          <w:fldChar w:fldCharType="end"/>
        </w:r>
      </w:hyperlink>
    </w:p>
    <w:p w14:paraId="57FE4195" w14:textId="040C313E"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47" w:history="1">
        <w:r w:rsidR="004F4C76" w:rsidRPr="00F07BDC">
          <w:rPr>
            <w:rStyle w:val="Hyperlink"/>
            <w:noProof/>
          </w:rPr>
          <w:t>About the Open Budget Survey</w:t>
        </w:r>
        <w:r w:rsidR="004F4C76">
          <w:rPr>
            <w:noProof/>
            <w:webHidden/>
          </w:rPr>
          <w:tab/>
        </w:r>
        <w:r w:rsidR="004F4C76">
          <w:rPr>
            <w:noProof/>
            <w:webHidden/>
          </w:rPr>
          <w:fldChar w:fldCharType="begin"/>
        </w:r>
        <w:r w:rsidR="004F4C76">
          <w:rPr>
            <w:noProof/>
            <w:webHidden/>
          </w:rPr>
          <w:instrText xml:space="preserve"> PAGEREF _Toc167782847 \h </w:instrText>
        </w:r>
        <w:r w:rsidR="004F4C76">
          <w:rPr>
            <w:noProof/>
            <w:webHidden/>
          </w:rPr>
        </w:r>
        <w:r w:rsidR="004F4C76">
          <w:rPr>
            <w:noProof/>
            <w:webHidden/>
          </w:rPr>
          <w:fldChar w:fldCharType="separate"/>
        </w:r>
        <w:r w:rsidR="004F4C76">
          <w:rPr>
            <w:noProof/>
            <w:webHidden/>
          </w:rPr>
          <w:t>4</w:t>
        </w:r>
        <w:r w:rsidR="004F4C76">
          <w:rPr>
            <w:noProof/>
            <w:webHidden/>
          </w:rPr>
          <w:fldChar w:fldCharType="end"/>
        </w:r>
      </w:hyperlink>
    </w:p>
    <w:p w14:paraId="5026D8AE" w14:textId="0319906A"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48" w:history="1">
        <w:r w:rsidR="004F4C76" w:rsidRPr="00F07BDC">
          <w:rPr>
            <w:rStyle w:val="Hyperlink"/>
            <w:noProof/>
          </w:rPr>
          <w:t>Report structure</w:t>
        </w:r>
        <w:r w:rsidR="004F4C76">
          <w:rPr>
            <w:noProof/>
            <w:webHidden/>
          </w:rPr>
          <w:tab/>
        </w:r>
        <w:r w:rsidR="004F4C76">
          <w:rPr>
            <w:noProof/>
            <w:webHidden/>
          </w:rPr>
          <w:fldChar w:fldCharType="begin"/>
        </w:r>
        <w:r w:rsidR="004F4C76">
          <w:rPr>
            <w:noProof/>
            <w:webHidden/>
          </w:rPr>
          <w:instrText xml:space="preserve"> PAGEREF _Toc167782848 \h </w:instrText>
        </w:r>
        <w:r w:rsidR="004F4C76">
          <w:rPr>
            <w:noProof/>
            <w:webHidden/>
          </w:rPr>
        </w:r>
        <w:r w:rsidR="004F4C76">
          <w:rPr>
            <w:noProof/>
            <w:webHidden/>
          </w:rPr>
          <w:fldChar w:fldCharType="separate"/>
        </w:r>
        <w:r w:rsidR="004F4C76">
          <w:rPr>
            <w:noProof/>
            <w:webHidden/>
          </w:rPr>
          <w:t>5</w:t>
        </w:r>
        <w:r w:rsidR="004F4C76">
          <w:rPr>
            <w:noProof/>
            <w:webHidden/>
          </w:rPr>
          <w:fldChar w:fldCharType="end"/>
        </w:r>
      </w:hyperlink>
    </w:p>
    <w:p w14:paraId="7D536618" w14:textId="42A1EA3C" w:rsidR="004F4C76" w:rsidRDefault="003C47B8">
      <w:pPr>
        <w:pStyle w:val="TOC1"/>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49" w:history="1">
        <w:r w:rsidR="004F4C76" w:rsidRPr="00F07BDC">
          <w:rPr>
            <w:rStyle w:val="Hyperlink"/>
            <w:noProof/>
          </w:rPr>
          <w:t>Open Budget Survey and Scotland</w:t>
        </w:r>
        <w:r w:rsidR="004F4C76">
          <w:rPr>
            <w:noProof/>
            <w:webHidden/>
          </w:rPr>
          <w:tab/>
        </w:r>
        <w:r w:rsidR="004F4C76">
          <w:rPr>
            <w:noProof/>
            <w:webHidden/>
          </w:rPr>
          <w:fldChar w:fldCharType="begin"/>
        </w:r>
        <w:r w:rsidR="004F4C76">
          <w:rPr>
            <w:noProof/>
            <w:webHidden/>
          </w:rPr>
          <w:instrText xml:space="preserve"> PAGEREF _Toc167782849 \h </w:instrText>
        </w:r>
        <w:r w:rsidR="004F4C76">
          <w:rPr>
            <w:noProof/>
            <w:webHidden/>
          </w:rPr>
        </w:r>
        <w:r w:rsidR="004F4C76">
          <w:rPr>
            <w:noProof/>
            <w:webHidden/>
          </w:rPr>
          <w:fldChar w:fldCharType="separate"/>
        </w:r>
        <w:r w:rsidR="004F4C76">
          <w:rPr>
            <w:noProof/>
            <w:webHidden/>
          </w:rPr>
          <w:t>6</w:t>
        </w:r>
        <w:r w:rsidR="004F4C76">
          <w:rPr>
            <w:noProof/>
            <w:webHidden/>
          </w:rPr>
          <w:fldChar w:fldCharType="end"/>
        </w:r>
      </w:hyperlink>
    </w:p>
    <w:p w14:paraId="0380B397" w14:textId="75868AA3"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50" w:history="1">
        <w:r w:rsidR="004F4C76" w:rsidRPr="00F07BDC">
          <w:rPr>
            <w:rStyle w:val="Hyperlink"/>
            <w:noProof/>
          </w:rPr>
          <w:t>In summary: Scotland’s 2023 scores</w:t>
        </w:r>
        <w:r w:rsidR="004F4C76">
          <w:rPr>
            <w:noProof/>
            <w:webHidden/>
          </w:rPr>
          <w:tab/>
        </w:r>
        <w:r w:rsidR="004F4C76">
          <w:rPr>
            <w:noProof/>
            <w:webHidden/>
          </w:rPr>
          <w:fldChar w:fldCharType="begin"/>
        </w:r>
        <w:r w:rsidR="004F4C76">
          <w:rPr>
            <w:noProof/>
            <w:webHidden/>
          </w:rPr>
          <w:instrText xml:space="preserve"> PAGEREF _Toc167782850 \h </w:instrText>
        </w:r>
        <w:r w:rsidR="004F4C76">
          <w:rPr>
            <w:noProof/>
            <w:webHidden/>
          </w:rPr>
        </w:r>
        <w:r w:rsidR="004F4C76">
          <w:rPr>
            <w:noProof/>
            <w:webHidden/>
          </w:rPr>
          <w:fldChar w:fldCharType="separate"/>
        </w:r>
        <w:r w:rsidR="004F4C76">
          <w:rPr>
            <w:noProof/>
            <w:webHidden/>
          </w:rPr>
          <w:t>6</w:t>
        </w:r>
        <w:r w:rsidR="004F4C76">
          <w:rPr>
            <w:noProof/>
            <w:webHidden/>
          </w:rPr>
          <w:fldChar w:fldCharType="end"/>
        </w:r>
      </w:hyperlink>
    </w:p>
    <w:p w14:paraId="7B76478C" w14:textId="549DDE7C"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51" w:history="1">
        <w:r w:rsidR="004F4C76" w:rsidRPr="00F07BDC">
          <w:rPr>
            <w:rStyle w:val="Hyperlink"/>
            <w:noProof/>
          </w:rPr>
          <w:t>Survey Process in Scotland</w:t>
        </w:r>
        <w:r w:rsidR="004F4C76">
          <w:rPr>
            <w:noProof/>
            <w:webHidden/>
          </w:rPr>
          <w:tab/>
        </w:r>
        <w:r w:rsidR="004F4C76">
          <w:rPr>
            <w:noProof/>
            <w:webHidden/>
          </w:rPr>
          <w:fldChar w:fldCharType="begin"/>
        </w:r>
        <w:r w:rsidR="004F4C76">
          <w:rPr>
            <w:noProof/>
            <w:webHidden/>
          </w:rPr>
          <w:instrText xml:space="preserve"> PAGEREF _Toc167782851 \h </w:instrText>
        </w:r>
        <w:r w:rsidR="004F4C76">
          <w:rPr>
            <w:noProof/>
            <w:webHidden/>
          </w:rPr>
        </w:r>
        <w:r w:rsidR="004F4C76">
          <w:rPr>
            <w:noProof/>
            <w:webHidden/>
          </w:rPr>
          <w:fldChar w:fldCharType="separate"/>
        </w:r>
        <w:r w:rsidR="004F4C76">
          <w:rPr>
            <w:noProof/>
            <w:webHidden/>
          </w:rPr>
          <w:t>6</w:t>
        </w:r>
        <w:r w:rsidR="004F4C76">
          <w:rPr>
            <w:noProof/>
            <w:webHidden/>
          </w:rPr>
          <w:fldChar w:fldCharType="end"/>
        </w:r>
      </w:hyperlink>
    </w:p>
    <w:p w14:paraId="03A3BFB2" w14:textId="3FD18C64"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52" w:history="1">
        <w:r w:rsidR="004F4C76" w:rsidRPr="00F07BDC">
          <w:rPr>
            <w:rStyle w:val="Hyperlink"/>
            <w:noProof/>
          </w:rPr>
          <w:t>Understanding the scores</w:t>
        </w:r>
        <w:r w:rsidR="004F4C76">
          <w:rPr>
            <w:noProof/>
            <w:webHidden/>
          </w:rPr>
          <w:tab/>
        </w:r>
        <w:r w:rsidR="004F4C76">
          <w:rPr>
            <w:noProof/>
            <w:webHidden/>
          </w:rPr>
          <w:fldChar w:fldCharType="begin"/>
        </w:r>
        <w:r w:rsidR="004F4C76">
          <w:rPr>
            <w:noProof/>
            <w:webHidden/>
          </w:rPr>
          <w:instrText xml:space="preserve"> PAGEREF _Toc167782852 \h </w:instrText>
        </w:r>
        <w:r w:rsidR="004F4C76">
          <w:rPr>
            <w:noProof/>
            <w:webHidden/>
          </w:rPr>
        </w:r>
        <w:r w:rsidR="004F4C76">
          <w:rPr>
            <w:noProof/>
            <w:webHidden/>
          </w:rPr>
          <w:fldChar w:fldCharType="separate"/>
        </w:r>
        <w:r w:rsidR="004F4C76">
          <w:rPr>
            <w:noProof/>
            <w:webHidden/>
          </w:rPr>
          <w:t>7</w:t>
        </w:r>
        <w:r w:rsidR="004F4C76">
          <w:rPr>
            <w:noProof/>
            <w:webHidden/>
          </w:rPr>
          <w:fldChar w:fldCharType="end"/>
        </w:r>
      </w:hyperlink>
    </w:p>
    <w:p w14:paraId="3BFDD0A1" w14:textId="3EAF5600" w:rsidR="004F4C76" w:rsidRDefault="003C47B8">
      <w:pPr>
        <w:pStyle w:val="TOC1"/>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53" w:history="1">
        <w:r w:rsidR="004F4C76" w:rsidRPr="00F07BDC">
          <w:rPr>
            <w:rStyle w:val="Hyperlink"/>
            <w:noProof/>
          </w:rPr>
          <w:t>Transparency</w:t>
        </w:r>
        <w:r w:rsidR="004F4C76">
          <w:rPr>
            <w:noProof/>
            <w:webHidden/>
          </w:rPr>
          <w:tab/>
        </w:r>
        <w:r w:rsidR="004F4C76">
          <w:rPr>
            <w:noProof/>
            <w:webHidden/>
          </w:rPr>
          <w:fldChar w:fldCharType="begin"/>
        </w:r>
        <w:r w:rsidR="004F4C76">
          <w:rPr>
            <w:noProof/>
            <w:webHidden/>
          </w:rPr>
          <w:instrText xml:space="preserve"> PAGEREF _Toc167782853 \h </w:instrText>
        </w:r>
        <w:r w:rsidR="004F4C76">
          <w:rPr>
            <w:noProof/>
            <w:webHidden/>
          </w:rPr>
        </w:r>
        <w:r w:rsidR="004F4C76">
          <w:rPr>
            <w:noProof/>
            <w:webHidden/>
          </w:rPr>
          <w:fldChar w:fldCharType="separate"/>
        </w:r>
        <w:r w:rsidR="004F4C76">
          <w:rPr>
            <w:noProof/>
            <w:webHidden/>
          </w:rPr>
          <w:t>9</w:t>
        </w:r>
        <w:r w:rsidR="004F4C76">
          <w:rPr>
            <w:noProof/>
            <w:webHidden/>
          </w:rPr>
          <w:fldChar w:fldCharType="end"/>
        </w:r>
      </w:hyperlink>
    </w:p>
    <w:p w14:paraId="13397679" w14:textId="0DF8DA70"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54" w:history="1">
        <w:r w:rsidR="004F4C76" w:rsidRPr="00F07BDC">
          <w:rPr>
            <w:rStyle w:val="Hyperlink"/>
            <w:noProof/>
          </w:rPr>
          <w:t>What changed in OBS 2023 from OBS 2019?</w:t>
        </w:r>
        <w:r w:rsidR="004F4C76">
          <w:rPr>
            <w:noProof/>
            <w:webHidden/>
          </w:rPr>
          <w:tab/>
        </w:r>
        <w:r w:rsidR="004F4C76">
          <w:rPr>
            <w:noProof/>
            <w:webHidden/>
          </w:rPr>
          <w:fldChar w:fldCharType="begin"/>
        </w:r>
        <w:r w:rsidR="004F4C76">
          <w:rPr>
            <w:noProof/>
            <w:webHidden/>
          </w:rPr>
          <w:instrText xml:space="preserve"> PAGEREF _Toc167782854 \h </w:instrText>
        </w:r>
        <w:r w:rsidR="004F4C76">
          <w:rPr>
            <w:noProof/>
            <w:webHidden/>
          </w:rPr>
        </w:r>
        <w:r w:rsidR="004F4C76">
          <w:rPr>
            <w:noProof/>
            <w:webHidden/>
          </w:rPr>
          <w:fldChar w:fldCharType="separate"/>
        </w:r>
        <w:r w:rsidR="004F4C76">
          <w:rPr>
            <w:noProof/>
            <w:webHidden/>
          </w:rPr>
          <w:t>17</w:t>
        </w:r>
        <w:r w:rsidR="004F4C76">
          <w:rPr>
            <w:noProof/>
            <w:webHidden/>
          </w:rPr>
          <w:fldChar w:fldCharType="end"/>
        </w:r>
      </w:hyperlink>
    </w:p>
    <w:p w14:paraId="1E82CC76" w14:textId="5589768E"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55" w:history="1">
        <w:r w:rsidR="004F4C76" w:rsidRPr="00F07BDC">
          <w:rPr>
            <w:rStyle w:val="Hyperlink"/>
            <w:noProof/>
          </w:rPr>
          <w:t>Transparency Recommendations</w:t>
        </w:r>
        <w:r w:rsidR="004F4C76">
          <w:rPr>
            <w:noProof/>
            <w:webHidden/>
          </w:rPr>
          <w:tab/>
        </w:r>
        <w:r w:rsidR="004F4C76">
          <w:rPr>
            <w:noProof/>
            <w:webHidden/>
          </w:rPr>
          <w:fldChar w:fldCharType="begin"/>
        </w:r>
        <w:r w:rsidR="004F4C76">
          <w:rPr>
            <w:noProof/>
            <w:webHidden/>
          </w:rPr>
          <w:instrText xml:space="preserve"> PAGEREF _Toc167782855 \h </w:instrText>
        </w:r>
        <w:r w:rsidR="004F4C76">
          <w:rPr>
            <w:noProof/>
            <w:webHidden/>
          </w:rPr>
        </w:r>
        <w:r w:rsidR="004F4C76">
          <w:rPr>
            <w:noProof/>
            <w:webHidden/>
          </w:rPr>
          <w:fldChar w:fldCharType="separate"/>
        </w:r>
        <w:r w:rsidR="004F4C76">
          <w:rPr>
            <w:noProof/>
            <w:webHidden/>
          </w:rPr>
          <w:t>19</w:t>
        </w:r>
        <w:r w:rsidR="004F4C76">
          <w:rPr>
            <w:noProof/>
            <w:webHidden/>
          </w:rPr>
          <w:fldChar w:fldCharType="end"/>
        </w:r>
      </w:hyperlink>
    </w:p>
    <w:p w14:paraId="1AEA8FCE" w14:textId="07C440F0" w:rsidR="004F4C76" w:rsidRDefault="003C47B8">
      <w:pPr>
        <w:pStyle w:val="TOC1"/>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56" w:history="1">
        <w:r w:rsidR="004F4C76" w:rsidRPr="00F07BDC">
          <w:rPr>
            <w:rStyle w:val="Hyperlink"/>
            <w:noProof/>
          </w:rPr>
          <w:t>Public Participation</w:t>
        </w:r>
        <w:r w:rsidR="004F4C76">
          <w:rPr>
            <w:noProof/>
            <w:webHidden/>
          </w:rPr>
          <w:tab/>
        </w:r>
        <w:r w:rsidR="004F4C76">
          <w:rPr>
            <w:noProof/>
            <w:webHidden/>
          </w:rPr>
          <w:fldChar w:fldCharType="begin"/>
        </w:r>
        <w:r w:rsidR="004F4C76">
          <w:rPr>
            <w:noProof/>
            <w:webHidden/>
          </w:rPr>
          <w:instrText xml:space="preserve"> PAGEREF _Toc167782856 \h </w:instrText>
        </w:r>
        <w:r w:rsidR="004F4C76">
          <w:rPr>
            <w:noProof/>
            <w:webHidden/>
          </w:rPr>
        </w:r>
        <w:r w:rsidR="004F4C76">
          <w:rPr>
            <w:noProof/>
            <w:webHidden/>
          </w:rPr>
          <w:fldChar w:fldCharType="separate"/>
        </w:r>
        <w:r w:rsidR="004F4C76">
          <w:rPr>
            <w:noProof/>
            <w:webHidden/>
          </w:rPr>
          <w:t>20</w:t>
        </w:r>
        <w:r w:rsidR="004F4C76">
          <w:rPr>
            <w:noProof/>
            <w:webHidden/>
          </w:rPr>
          <w:fldChar w:fldCharType="end"/>
        </w:r>
      </w:hyperlink>
    </w:p>
    <w:p w14:paraId="339B8982" w14:textId="25BE09A8"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57" w:history="1">
        <w:r w:rsidR="004F4C76" w:rsidRPr="00F07BDC">
          <w:rPr>
            <w:rStyle w:val="Hyperlink"/>
            <w:noProof/>
          </w:rPr>
          <w:t>What changed in OBS 2023 from OBS 2019?</w:t>
        </w:r>
        <w:r w:rsidR="004F4C76">
          <w:rPr>
            <w:noProof/>
            <w:webHidden/>
          </w:rPr>
          <w:tab/>
        </w:r>
        <w:r w:rsidR="004F4C76">
          <w:rPr>
            <w:noProof/>
            <w:webHidden/>
          </w:rPr>
          <w:fldChar w:fldCharType="begin"/>
        </w:r>
        <w:r w:rsidR="004F4C76">
          <w:rPr>
            <w:noProof/>
            <w:webHidden/>
          </w:rPr>
          <w:instrText xml:space="preserve"> PAGEREF _Toc167782857 \h </w:instrText>
        </w:r>
        <w:r w:rsidR="004F4C76">
          <w:rPr>
            <w:noProof/>
            <w:webHidden/>
          </w:rPr>
        </w:r>
        <w:r w:rsidR="004F4C76">
          <w:rPr>
            <w:noProof/>
            <w:webHidden/>
          </w:rPr>
          <w:fldChar w:fldCharType="separate"/>
        </w:r>
        <w:r w:rsidR="004F4C76">
          <w:rPr>
            <w:noProof/>
            <w:webHidden/>
          </w:rPr>
          <w:t>22</w:t>
        </w:r>
        <w:r w:rsidR="004F4C76">
          <w:rPr>
            <w:noProof/>
            <w:webHidden/>
          </w:rPr>
          <w:fldChar w:fldCharType="end"/>
        </w:r>
      </w:hyperlink>
    </w:p>
    <w:p w14:paraId="70F7187D" w14:textId="42C3BD64"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58" w:history="1">
        <w:r w:rsidR="004F4C76" w:rsidRPr="00F07BDC">
          <w:rPr>
            <w:rStyle w:val="Hyperlink"/>
            <w:noProof/>
          </w:rPr>
          <w:t>Public Participation Recommendations</w:t>
        </w:r>
        <w:r w:rsidR="004F4C76">
          <w:rPr>
            <w:noProof/>
            <w:webHidden/>
          </w:rPr>
          <w:tab/>
        </w:r>
        <w:r w:rsidR="004F4C76">
          <w:rPr>
            <w:noProof/>
            <w:webHidden/>
          </w:rPr>
          <w:fldChar w:fldCharType="begin"/>
        </w:r>
        <w:r w:rsidR="004F4C76">
          <w:rPr>
            <w:noProof/>
            <w:webHidden/>
          </w:rPr>
          <w:instrText xml:space="preserve"> PAGEREF _Toc167782858 \h </w:instrText>
        </w:r>
        <w:r w:rsidR="004F4C76">
          <w:rPr>
            <w:noProof/>
            <w:webHidden/>
          </w:rPr>
        </w:r>
        <w:r w:rsidR="004F4C76">
          <w:rPr>
            <w:noProof/>
            <w:webHidden/>
          </w:rPr>
          <w:fldChar w:fldCharType="separate"/>
        </w:r>
        <w:r w:rsidR="004F4C76">
          <w:rPr>
            <w:noProof/>
            <w:webHidden/>
          </w:rPr>
          <w:t>24</w:t>
        </w:r>
        <w:r w:rsidR="004F4C76">
          <w:rPr>
            <w:noProof/>
            <w:webHidden/>
          </w:rPr>
          <w:fldChar w:fldCharType="end"/>
        </w:r>
      </w:hyperlink>
    </w:p>
    <w:p w14:paraId="52737290" w14:textId="59A048C4" w:rsidR="004F4C76" w:rsidRDefault="003C47B8">
      <w:pPr>
        <w:pStyle w:val="TOC1"/>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59" w:history="1">
        <w:r w:rsidR="004F4C76" w:rsidRPr="00F07BDC">
          <w:rPr>
            <w:rStyle w:val="Hyperlink"/>
            <w:noProof/>
          </w:rPr>
          <w:t>Budget Oversight</w:t>
        </w:r>
        <w:r w:rsidR="004F4C76">
          <w:rPr>
            <w:noProof/>
            <w:webHidden/>
          </w:rPr>
          <w:tab/>
        </w:r>
        <w:r w:rsidR="004F4C76">
          <w:rPr>
            <w:noProof/>
            <w:webHidden/>
          </w:rPr>
          <w:fldChar w:fldCharType="begin"/>
        </w:r>
        <w:r w:rsidR="004F4C76">
          <w:rPr>
            <w:noProof/>
            <w:webHidden/>
          </w:rPr>
          <w:instrText xml:space="preserve"> PAGEREF _Toc167782859 \h </w:instrText>
        </w:r>
        <w:r w:rsidR="004F4C76">
          <w:rPr>
            <w:noProof/>
            <w:webHidden/>
          </w:rPr>
        </w:r>
        <w:r w:rsidR="004F4C76">
          <w:rPr>
            <w:noProof/>
            <w:webHidden/>
          </w:rPr>
          <w:fldChar w:fldCharType="separate"/>
        </w:r>
        <w:r w:rsidR="004F4C76">
          <w:rPr>
            <w:noProof/>
            <w:webHidden/>
          </w:rPr>
          <w:t>25</w:t>
        </w:r>
        <w:r w:rsidR="004F4C76">
          <w:rPr>
            <w:noProof/>
            <w:webHidden/>
          </w:rPr>
          <w:fldChar w:fldCharType="end"/>
        </w:r>
      </w:hyperlink>
    </w:p>
    <w:p w14:paraId="31FEE198" w14:textId="0BD7CD2D"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60" w:history="1">
        <w:r w:rsidR="004F4C76" w:rsidRPr="00F07BDC">
          <w:rPr>
            <w:rStyle w:val="Hyperlink"/>
            <w:noProof/>
          </w:rPr>
          <w:t>What changed in OBS 2023 from OBS 2019?</w:t>
        </w:r>
        <w:r w:rsidR="004F4C76">
          <w:rPr>
            <w:noProof/>
            <w:webHidden/>
          </w:rPr>
          <w:tab/>
        </w:r>
        <w:r w:rsidR="004F4C76">
          <w:rPr>
            <w:noProof/>
            <w:webHidden/>
          </w:rPr>
          <w:fldChar w:fldCharType="begin"/>
        </w:r>
        <w:r w:rsidR="004F4C76">
          <w:rPr>
            <w:noProof/>
            <w:webHidden/>
          </w:rPr>
          <w:instrText xml:space="preserve"> PAGEREF _Toc167782860 \h </w:instrText>
        </w:r>
        <w:r w:rsidR="004F4C76">
          <w:rPr>
            <w:noProof/>
            <w:webHidden/>
          </w:rPr>
        </w:r>
        <w:r w:rsidR="004F4C76">
          <w:rPr>
            <w:noProof/>
            <w:webHidden/>
          </w:rPr>
          <w:fldChar w:fldCharType="separate"/>
        </w:r>
        <w:r w:rsidR="004F4C76">
          <w:rPr>
            <w:noProof/>
            <w:webHidden/>
          </w:rPr>
          <w:t>27</w:t>
        </w:r>
        <w:r w:rsidR="004F4C76">
          <w:rPr>
            <w:noProof/>
            <w:webHidden/>
          </w:rPr>
          <w:fldChar w:fldCharType="end"/>
        </w:r>
      </w:hyperlink>
    </w:p>
    <w:p w14:paraId="1A21518C" w14:textId="13447CDD"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61" w:history="1">
        <w:r w:rsidR="004F4C76" w:rsidRPr="00F07BDC">
          <w:rPr>
            <w:rStyle w:val="Hyperlink"/>
            <w:noProof/>
            <w:lang w:val="en"/>
          </w:rPr>
          <w:t>Oversight Recommendations</w:t>
        </w:r>
        <w:r w:rsidR="004F4C76">
          <w:rPr>
            <w:noProof/>
            <w:webHidden/>
          </w:rPr>
          <w:tab/>
        </w:r>
        <w:r w:rsidR="004F4C76">
          <w:rPr>
            <w:noProof/>
            <w:webHidden/>
          </w:rPr>
          <w:fldChar w:fldCharType="begin"/>
        </w:r>
        <w:r w:rsidR="004F4C76">
          <w:rPr>
            <w:noProof/>
            <w:webHidden/>
          </w:rPr>
          <w:instrText xml:space="preserve"> PAGEREF _Toc167782861 \h </w:instrText>
        </w:r>
        <w:r w:rsidR="004F4C76">
          <w:rPr>
            <w:noProof/>
            <w:webHidden/>
          </w:rPr>
        </w:r>
        <w:r w:rsidR="004F4C76">
          <w:rPr>
            <w:noProof/>
            <w:webHidden/>
          </w:rPr>
          <w:fldChar w:fldCharType="separate"/>
        </w:r>
        <w:r w:rsidR="004F4C76">
          <w:rPr>
            <w:noProof/>
            <w:webHidden/>
          </w:rPr>
          <w:t>29</w:t>
        </w:r>
        <w:r w:rsidR="004F4C76">
          <w:rPr>
            <w:noProof/>
            <w:webHidden/>
          </w:rPr>
          <w:fldChar w:fldCharType="end"/>
        </w:r>
      </w:hyperlink>
    </w:p>
    <w:p w14:paraId="0B422CB9" w14:textId="0A5B5AF2" w:rsidR="004F4C76" w:rsidRDefault="003C47B8">
      <w:pPr>
        <w:pStyle w:val="TOC1"/>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62" w:history="1">
        <w:r w:rsidR="004F4C76" w:rsidRPr="00F07BDC">
          <w:rPr>
            <w:rStyle w:val="Hyperlink"/>
            <w:noProof/>
          </w:rPr>
          <w:t>Conclusion</w:t>
        </w:r>
        <w:r w:rsidR="004F4C76">
          <w:rPr>
            <w:noProof/>
            <w:webHidden/>
          </w:rPr>
          <w:tab/>
        </w:r>
        <w:r w:rsidR="004F4C76">
          <w:rPr>
            <w:noProof/>
            <w:webHidden/>
          </w:rPr>
          <w:fldChar w:fldCharType="begin"/>
        </w:r>
        <w:r w:rsidR="004F4C76">
          <w:rPr>
            <w:noProof/>
            <w:webHidden/>
          </w:rPr>
          <w:instrText xml:space="preserve"> PAGEREF _Toc167782862 \h </w:instrText>
        </w:r>
        <w:r w:rsidR="004F4C76">
          <w:rPr>
            <w:noProof/>
            <w:webHidden/>
          </w:rPr>
        </w:r>
        <w:r w:rsidR="004F4C76">
          <w:rPr>
            <w:noProof/>
            <w:webHidden/>
          </w:rPr>
          <w:fldChar w:fldCharType="separate"/>
        </w:r>
        <w:r w:rsidR="004F4C76">
          <w:rPr>
            <w:noProof/>
            <w:webHidden/>
          </w:rPr>
          <w:t>30</w:t>
        </w:r>
        <w:r w:rsidR="004F4C76">
          <w:rPr>
            <w:noProof/>
            <w:webHidden/>
          </w:rPr>
          <w:fldChar w:fldCharType="end"/>
        </w:r>
      </w:hyperlink>
    </w:p>
    <w:p w14:paraId="04BA65EA" w14:textId="54D3240A" w:rsidR="004F4C76" w:rsidRDefault="003C47B8">
      <w:pPr>
        <w:pStyle w:val="TOC1"/>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63" w:history="1">
        <w:r w:rsidR="004F4C76" w:rsidRPr="00F07BDC">
          <w:rPr>
            <w:rStyle w:val="Hyperlink"/>
            <w:noProof/>
          </w:rPr>
          <w:t>Appendix 1 – Methodology</w:t>
        </w:r>
        <w:r w:rsidR="004F4C76">
          <w:rPr>
            <w:noProof/>
            <w:webHidden/>
          </w:rPr>
          <w:tab/>
        </w:r>
        <w:r w:rsidR="004F4C76">
          <w:rPr>
            <w:noProof/>
            <w:webHidden/>
          </w:rPr>
          <w:fldChar w:fldCharType="begin"/>
        </w:r>
        <w:r w:rsidR="004F4C76">
          <w:rPr>
            <w:noProof/>
            <w:webHidden/>
          </w:rPr>
          <w:instrText xml:space="preserve"> PAGEREF _Toc167782863 \h </w:instrText>
        </w:r>
        <w:r w:rsidR="004F4C76">
          <w:rPr>
            <w:noProof/>
            <w:webHidden/>
          </w:rPr>
        </w:r>
        <w:r w:rsidR="004F4C76">
          <w:rPr>
            <w:noProof/>
            <w:webHidden/>
          </w:rPr>
          <w:fldChar w:fldCharType="separate"/>
        </w:r>
        <w:r w:rsidR="004F4C76">
          <w:rPr>
            <w:noProof/>
            <w:webHidden/>
          </w:rPr>
          <w:t>31</w:t>
        </w:r>
        <w:r w:rsidR="004F4C76">
          <w:rPr>
            <w:noProof/>
            <w:webHidden/>
          </w:rPr>
          <w:fldChar w:fldCharType="end"/>
        </w:r>
      </w:hyperlink>
    </w:p>
    <w:p w14:paraId="7DE47807" w14:textId="6F78E3DF"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64" w:history="1">
        <w:r w:rsidR="004F4C76" w:rsidRPr="00F07BDC">
          <w:rPr>
            <w:rStyle w:val="Hyperlink"/>
            <w:noProof/>
          </w:rPr>
          <w:t>The Survey</w:t>
        </w:r>
        <w:r w:rsidR="004F4C76">
          <w:rPr>
            <w:noProof/>
            <w:webHidden/>
          </w:rPr>
          <w:tab/>
        </w:r>
        <w:r w:rsidR="004F4C76">
          <w:rPr>
            <w:noProof/>
            <w:webHidden/>
          </w:rPr>
          <w:fldChar w:fldCharType="begin"/>
        </w:r>
        <w:r w:rsidR="004F4C76">
          <w:rPr>
            <w:noProof/>
            <w:webHidden/>
          </w:rPr>
          <w:instrText xml:space="preserve"> PAGEREF _Toc167782864 \h </w:instrText>
        </w:r>
        <w:r w:rsidR="004F4C76">
          <w:rPr>
            <w:noProof/>
            <w:webHidden/>
          </w:rPr>
        </w:r>
        <w:r w:rsidR="004F4C76">
          <w:rPr>
            <w:noProof/>
            <w:webHidden/>
          </w:rPr>
          <w:fldChar w:fldCharType="separate"/>
        </w:r>
        <w:r w:rsidR="004F4C76">
          <w:rPr>
            <w:noProof/>
            <w:webHidden/>
          </w:rPr>
          <w:t>31</w:t>
        </w:r>
        <w:r w:rsidR="004F4C76">
          <w:rPr>
            <w:noProof/>
            <w:webHidden/>
          </w:rPr>
          <w:fldChar w:fldCharType="end"/>
        </w:r>
      </w:hyperlink>
    </w:p>
    <w:p w14:paraId="40DDA352" w14:textId="5354B600" w:rsidR="004F4C76" w:rsidRDefault="003C47B8">
      <w:pPr>
        <w:pStyle w:val="TOC1"/>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65" w:history="1">
        <w:r w:rsidR="004F4C76" w:rsidRPr="00F07BDC">
          <w:rPr>
            <w:rStyle w:val="Hyperlink"/>
            <w:noProof/>
          </w:rPr>
          <w:t>Appendix 2 – Further information about budget documents assessed by the OBS</w:t>
        </w:r>
        <w:r w:rsidR="004F4C76">
          <w:rPr>
            <w:noProof/>
            <w:webHidden/>
          </w:rPr>
          <w:tab/>
        </w:r>
        <w:r w:rsidR="004F4C76">
          <w:rPr>
            <w:noProof/>
            <w:webHidden/>
          </w:rPr>
          <w:fldChar w:fldCharType="begin"/>
        </w:r>
        <w:r w:rsidR="004F4C76">
          <w:rPr>
            <w:noProof/>
            <w:webHidden/>
          </w:rPr>
          <w:instrText xml:space="preserve"> PAGEREF _Toc167782865 \h </w:instrText>
        </w:r>
        <w:r w:rsidR="004F4C76">
          <w:rPr>
            <w:noProof/>
            <w:webHidden/>
          </w:rPr>
        </w:r>
        <w:r w:rsidR="004F4C76">
          <w:rPr>
            <w:noProof/>
            <w:webHidden/>
          </w:rPr>
          <w:fldChar w:fldCharType="separate"/>
        </w:r>
        <w:r w:rsidR="004F4C76">
          <w:rPr>
            <w:noProof/>
            <w:webHidden/>
          </w:rPr>
          <w:t>34</w:t>
        </w:r>
        <w:r w:rsidR="004F4C76">
          <w:rPr>
            <w:noProof/>
            <w:webHidden/>
          </w:rPr>
          <w:fldChar w:fldCharType="end"/>
        </w:r>
      </w:hyperlink>
    </w:p>
    <w:p w14:paraId="11CF6785" w14:textId="5232A355"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66" w:history="1">
        <w:r w:rsidR="004F4C76" w:rsidRPr="00F07BDC">
          <w:rPr>
            <w:rStyle w:val="Hyperlink"/>
            <w:noProof/>
          </w:rPr>
          <w:t>Pre-Budget Statement</w:t>
        </w:r>
        <w:r w:rsidR="004F4C76">
          <w:rPr>
            <w:noProof/>
            <w:webHidden/>
          </w:rPr>
          <w:tab/>
        </w:r>
        <w:r w:rsidR="004F4C76">
          <w:rPr>
            <w:noProof/>
            <w:webHidden/>
          </w:rPr>
          <w:fldChar w:fldCharType="begin"/>
        </w:r>
        <w:r w:rsidR="004F4C76">
          <w:rPr>
            <w:noProof/>
            <w:webHidden/>
          </w:rPr>
          <w:instrText xml:space="preserve"> PAGEREF _Toc167782866 \h </w:instrText>
        </w:r>
        <w:r w:rsidR="004F4C76">
          <w:rPr>
            <w:noProof/>
            <w:webHidden/>
          </w:rPr>
        </w:r>
        <w:r w:rsidR="004F4C76">
          <w:rPr>
            <w:noProof/>
            <w:webHidden/>
          </w:rPr>
          <w:fldChar w:fldCharType="separate"/>
        </w:r>
        <w:r w:rsidR="004F4C76">
          <w:rPr>
            <w:noProof/>
            <w:webHidden/>
          </w:rPr>
          <w:t>34</w:t>
        </w:r>
        <w:r w:rsidR="004F4C76">
          <w:rPr>
            <w:noProof/>
            <w:webHidden/>
          </w:rPr>
          <w:fldChar w:fldCharType="end"/>
        </w:r>
      </w:hyperlink>
    </w:p>
    <w:p w14:paraId="5CC30DEA" w14:textId="7E538E85"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67" w:history="1">
        <w:r w:rsidR="004F4C76" w:rsidRPr="00F07BDC">
          <w:rPr>
            <w:rStyle w:val="Hyperlink"/>
            <w:noProof/>
          </w:rPr>
          <w:t>Executive Budget Proposal</w:t>
        </w:r>
        <w:r w:rsidR="004F4C76">
          <w:rPr>
            <w:noProof/>
            <w:webHidden/>
          </w:rPr>
          <w:tab/>
        </w:r>
        <w:r w:rsidR="004F4C76">
          <w:rPr>
            <w:noProof/>
            <w:webHidden/>
          </w:rPr>
          <w:fldChar w:fldCharType="begin"/>
        </w:r>
        <w:r w:rsidR="004F4C76">
          <w:rPr>
            <w:noProof/>
            <w:webHidden/>
          </w:rPr>
          <w:instrText xml:space="preserve"> PAGEREF _Toc167782867 \h </w:instrText>
        </w:r>
        <w:r w:rsidR="004F4C76">
          <w:rPr>
            <w:noProof/>
            <w:webHidden/>
          </w:rPr>
        </w:r>
        <w:r w:rsidR="004F4C76">
          <w:rPr>
            <w:noProof/>
            <w:webHidden/>
          </w:rPr>
          <w:fldChar w:fldCharType="separate"/>
        </w:r>
        <w:r w:rsidR="004F4C76">
          <w:rPr>
            <w:noProof/>
            <w:webHidden/>
          </w:rPr>
          <w:t>36</w:t>
        </w:r>
        <w:r w:rsidR="004F4C76">
          <w:rPr>
            <w:noProof/>
            <w:webHidden/>
          </w:rPr>
          <w:fldChar w:fldCharType="end"/>
        </w:r>
      </w:hyperlink>
    </w:p>
    <w:p w14:paraId="41F9B77A" w14:textId="49F2219F"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68" w:history="1">
        <w:r w:rsidR="004F4C76" w:rsidRPr="00F07BDC">
          <w:rPr>
            <w:rStyle w:val="Hyperlink"/>
            <w:noProof/>
          </w:rPr>
          <w:t>Citizens’ Budget</w:t>
        </w:r>
        <w:r w:rsidR="004F4C76">
          <w:rPr>
            <w:noProof/>
            <w:webHidden/>
          </w:rPr>
          <w:tab/>
        </w:r>
        <w:r w:rsidR="004F4C76">
          <w:rPr>
            <w:noProof/>
            <w:webHidden/>
          </w:rPr>
          <w:fldChar w:fldCharType="begin"/>
        </w:r>
        <w:r w:rsidR="004F4C76">
          <w:rPr>
            <w:noProof/>
            <w:webHidden/>
          </w:rPr>
          <w:instrText xml:space="preserve"> PAGEREF _Toc167782868 \h </w:instrText>
        </w:r>
        <w:r w:rsidR="004F4C76">
          <w:rPr>
            <w:noProof/>
            <w:webHidden/>
          </w:rPr>
        </w:r>
        <w:r w:rsidR="004F4C76">
          <w:rPr>
            <w:noProof/>
            <w:webHidden/>
          </w:rPr>
          <w:fldChar w:fldCharType="separate"/>
        </w:r>
        <w:r w:rsidR="004F4C76">
          <w:rPr>
            <w:noProof/>
            <w:webHidden/>
          </w:rPr>
          <w:t>39</w:t>
        </w:r>
        <w:r w:rsidR="004F4C76">
          <w:rPr>
            <w:noProof/>
            <w:webHidden/>
          </w:rPr>
          <w:fldChar w:fldCharType="end"/>
        </w:r>
      </w:hyperlink>
    </w:p>
    <w:p w14:paraId="2400AB9F" w14:textId="670C5960"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69" w:history="1">
        <w:r w:rsidR="004F4C76" w:rsidRPr="00F07BDC">
          <w:rPr>
            <w:rStyle w:val="Hyperlink"/>
            <w:noProof/>
          </w:rPr>
          <w:t>Enacted Budget</w:t>
        </w:r>
        <w:r w:rsidR="004F4C76">
          <w:rPr>
            <w:noProof/>
            <w:webHidden/>
          </w:rPr>
          <w:tab/>
        </w:r>
        <w:r w:rsidR="004F4C76">
          <w:rPr>
            <w:noProof/>
            <w:webHidden/>
          </w:rPr>
          <w:fldChar w:fldCharType="begin"/>
        </w:r>
        <w:r w:rsidR="004F4C76">
          <w:rPr>
            <w:noProof/>
            <w:webHidden/>
          </w:rPr>
          <w:instrText xml:space="preserve"> PAGEREF _Toc167782869 \h </w:instrText>
        </w:r>
        <w:r w:rsidR="004F4C76">
          <w:rPr>
            <w:noProof/>
            <w:webHidden/>
          </w:rPr>
        </w:r>
        <w:r w:rsidR="004F4C76">
          <w:rPr>
            <w:noProof/>
            <w:webHidden/>
          </w:rPr>
          <w:fldChar w:fldCharType="separate"/>
        </w:r>
        <w:r w:rsidR="004F4C76">
          <w:rPr>
            <w:noProof/>
            <w:webHidden/>
          </w:rPr>
          <w:t>41</w:t>
        </w:r>
        <w:r w:rsidR="004F4C76">
          <w:rPr>
            <w:noProof/>
            <w:webHidden/>
          </w:rPr>
          <w:fldChar w:fldCharType="end"/>
        </w:r>
      </w:hyperlink>
    </w:p>
    <w:p w14:paraId="48C4C69B" w14:textId="2497497F"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70" w:history="1">
        <w:r w:rsidR="004F4C76" w:rsidRPr="00F07BDC">
          <w:rPr>
            <w:rStyle w:val="Hyperlink"/>
            <w:noProof/>
          </w:rPr>
          <w:t>In-Year Report</w:t>
        </w:r>
        <w:r w:rsidR="004F4C76">
          <w:rPr>
            <w:noProof/>
            <w:webHidden/>
          </w:rPr>
          <w:tab/>
        </w:r>
        <w:r w:rsidR="004F4C76">
          <w:rPr>
            <w:noProof/>
            <w:webHidden/>
          </w:rPr>
          <w:fldChar w:fldCharType="begin"/>
        </w:r>
        <w:r w:rsidR="004F4C76">
          <w:rPr>
            <w:noProof/>
            <w:webHidden/>
          </w:rPr>
          <w:instrText xml:space="preserve"> PAGEREF _Toc167782870 \h </w:instrText>
        </w:r>
        <w:r w:rsidR="004F4C76">
          <w:rPr>
            <w:noProof/>
            <w:webHidden/>
          </w:rPr>
        </w:r>
        <w:r w:rsidR="004F4C76">
          <w:rPr>
            <w:noProof/>
            <w:webHidden/>
          </w:rPr>
          <w:fldChar w:fldCharType="separate"/>
        </w:r>
        <w:r w:rsidR="004F4C76">
          <w:rPr>
            <w:noProof/>
            <w:webHidden/>
          </w:rPr>
          <w:t>43</w:t>
        </w:r>
        <w:r w:rsidR="004F4C76">
          <w:rPr>
            <w:noProof/>
            <w:webHidden/>
          </w:rPr>
          <w:fldChar w:fldCharType="end"/>
        </w:r>
      </w:hyperlink>
    </w:p>
    <w:p w14:paraId="40040BF7" w14:textId="667AD8B4"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71" w:history="1">
        <w:r w:rsidR="004F4C76" w:rsidRPr="00F07BDC">
          <w:rPr>
            <w:rStyle w:val="Hyperlink"/>
            <w:noProof/>
          </w:rPr>
          <w:t>Mid-Year Report</w:t>
        </w:r>
        <w:r w:rsidR="004F4C76">
          <w:rPr>
            <w:noProof/>
            <w:webHidden/>
          </w:rPr>
          <w:tab/>
        </w:r>
        <w:r w:rsidR="004F4C76">
          <w:rPr>
            <w:noProof/>
            <w:webHidden/>
          </w:rPr>
          <w:fldChar w:fldCharType="begin"/>
        </w:r>
        <w:r w:rsidR="004F4C76">
          <w:rPr>
            <w:noProof/>
            <w:webHidden/>
          </w:rPr>
          <w:instrText xml:space="preserve"> PAGEREF _Toc167782871 \h </w:instrText>
        </w:r>
        <w:r w:rsidR="004F4C76">
          <w:rPr>
            <w:noProof/>
            <w:webHidden/>
          </w:rPr>
        </w:r>
        <w:r w:rsidR="004F4C76">
          <w:rPr>
            <w:noProof/>
            <w:webHidden/>
          </w:rPr>
          <w:fldChar w:fldCharType="separate"/>
        </w:r>
        <w:r w:rsidR="004F4C76">
          <w:rPr>
            <w:noProof/>
            <w:webHidden/>
          </w:rPr>
          <w:t>45</w:t>
        </w:r>
        <w:r w:rsidR="004F4C76">
          <w:rPr>
            <w:noProof/>
            <w:webHidden/>
          </w:rPr>
          <w:fldChar w:fldCharType="end"/>
        </w:r>
      </w:hyperlink>
    </w:p>
    <w:p w14:paraId="764BCC88" w14:textId="35E91DFB"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72" w:history="1">
        <w:r w:rsidR="004F4C76" w:rsidRPr="00F07BDC">
          <w:rPr>
            <w:rStyle w:val="Hyperlink"/>
            <w:noProof/>
          </w:rPr>
          <w:t>Year-End Report</w:t>
        </w:r>
        <w:r w:rsidR="004F4C76">
          <w:rPr>
            <w:noProof/>
            <w:webHidden/>
          </w:rPr>
          <w:tab/>
        </w:r>
        <w:r w:rsidR="004F4C76">
          <w:rPr>
            <w:noProof/>
            <w:webHidden/>
          </w:rPr>
          <w:fldChar w:fldCharType="begin"/>
        </w:r>
        <w:r w:rsidR="004F4C76">
          <w:rPr>
            <w:noProof/>
            <w:webHidden/>
          </w:rPr>
          <w:instrText xml:space="preserve"> PAGEREF _Toc167782872 \h </w:instrText>
        </w:r>
        <w:r w:rsidR="004F4C76">
          <w:rPr>
            <w:noProof/>
            <w:webHidden/>
          </w:rPr>
        </w:r>
        <w:r w:rsidR="004F4C76">
          <w:rPr>
            <w:noProof/>
            <w:webHidden/>
          </w:rPr>
          <w:fldChar w:fldCharType="separate"/>
        </w:r>
        <w:r w:rsidR="004F4C76">
          <w:rPr>
            <w:noProof/>
            <w:webHidden/>
          </w:rPr>
          <w:t>47</w:t>
        </w:r>
        <w:r w:rsidR="004F4C76">
          <w:rPr>
            <w:noProof/>
            <w:webHidden/>
          </w:rPr>
          <w:fldChar w:fldCharType="end"/>
        </w:r>
      </w:hyperlink>
    </w:p>
    <w:p w14:paraId="54F27A63" w14:textId="758B765A" w:rsidR="004F4C76" w:rsidRDefault="003C47B8">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73" w:history="1">
        <w:r w:rsidR="004F4C76" w:rsidRPr="00F07BDC">
          <w:rPr>
            <w:rStyle w:val="Hyperlink"/>
            <w:noProof/>
          </w:rPr>
          <w:t>Audit Report</w:t>
        </w:r>
        <w:r w:rsidR="004F4C76">
          <w:rPr>
            <w:noProof/>
            <w:webHidden/>
          </w:rPr>
          <w:tab/>
        </w:r>
        <w:r w:rsidR="004F4C76">
          <w:rPr>
            <w:noProof/>
            <w:webHidden/>
          </w:rPr>
          <w:fldChar w:fldCharType="begin"/>
        </w:r>
        <w:r w:rsidR="004F4C76">
          <w:rPr>
            <w:noProof/>
            <w:webHidden/>
          </w:rPr>
          <w:instrText xml:space="preserve"> PAGEREF _Toc167782873 \h </w:instrText>
        </w:r>
        <w:r w:rsidR="004F4C76">
          <w:rPr>
            <w:noProof/>
            <w:webHidden/>
          </w:rPr>
        </w:r>
        <w:r w:rsidR="004F4C76">
          <w:rPr>
            <w:noProof/>
            <w:webHidden/>
          </w:rPr>
          <w:fldChar w:fldCharType="separate"/>
        </w:r>
        <w:r w:rsidR="004F4C76">
          <w:rPr>
            <w:noProof/>
            <w:webHidden/>
          </w:rPr>
          <w:t>50</w:t>
        </w:r>
        <w:r w:rsidR="004F4C76">
          <w:rPr>
            <w:noProof/>
            <w:webHidden/>
          </w:rPr>
          <w:fldChar w:fldCharType="end"/>
        </w:r>
      </w:hyperlink>
    </w:p>
    <w:p w14:paraId="754E00E7" w14:textId="53E3060E" w:rsidR="004F4C76" w:rsidRDefault="003C47B8">
      <w:pPr>
        <w:pStyle w:val="TOC1"/>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74" w:history="1">
        <w:r w:rsidR="004F4C76" w:rsidRPr="00F07BDC">
          <w:rPr>
            <w:rStyle w:val="Hyperlink"/>
            <w:noProof/>
          </w:rPr>
          <w:t>Appendix 3 – Key Building blocks for the budget progress not reflected in OBS 2023</w:t>
        </w:r>
        <w:r w:rsidR="004F4C76">
          <w:rPr>
            <w:noProof/>
            <w:webHidden/>
          </w:rPr>
          <w:tab/>
        </w:r>
        <w:r w:rsidR="004F4C76">
          <w:rPr>
            <w:noProof/>
            <w:webHidden/>
          </w:rPr>
          <w:fldChar w:fldCharType="begin"/>
        </w:r>
        <w:r w:rsidR="004F4C76">
          <w:rPr>
            <w:noProof/>
            <w:webHidden/>
          </w:rPr>
          <w:instrText xml:space="preserve"> PAGEREF _Toc167782874 \h </w:instrText>
        </w:r>
        <w:r w:rsidR="004F4C76">
          <w:rPr>
            <w:noProof/>
            <w:webHidden/>
          </w:rPr>
        </w:r>
        <w:r w:rsidR="004F4C76">
          <w:rPr>
            <w:noProof/>
            <w:webHidden/>
          </w:rPr>
          <w:fldChar w:fldCharType="separate"/>
        </w:r>
        <w:r w:rsidR="004F4C76">
          <w:rPr>
            <w:noProof/>
            <w:webHidden/>
          </w:rPr>
          <w:t>53</w:t>
        </w:r>
        <w:r w:rsidR="004F4C76">
          <w:rPr>
            <w:noProof/>
            <w:webHidden/>
          </w:rPr>
          <w:fldChar w:fldCharType="end"/>
        </w:r>
      </w:hyperlink>
    </w:p>
    <w:p w14:paraId="4C858F0F" w14:textId="7BA30FA8" w:rsidR="004F4C76" w:rsidRDefault="003C47B8">
      <w:pPr>
        <w:pStyle w:val="TOC1"/>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782875" w:history="1">
        <w:r w:rsidR="004F4C76" w:rsidRPr="00F07BDC">
          <w:rPr>
            <w:rStyle w:val="Hyperlink"/>
            <w:noProof/>
          </w:rPr>
          <w:t>Endnotes</w:t>
        </w:r>
        <w:r w:rsidR="004F4C76">
          <w:rPr>
            <w:noProof/>
            <w:webHidden/>
          </w:rPr>
          <w:tab/>
        </w:r>
        <w:r w:rsidR="004F4C76">
          <w:rPr>
            <w:noProof/>
            <w:webHidden/>
          </w:rPr>
          <w:fldChar w:fldCharType="begin"/>
        </w:r>
        <w:r w:rsidR="004F4C76">
          <w:rPr>
            <w:noProof/>
            <w:webHidden/>
          </w:rPr>
          <w:instrText xml:space="preserve"> PAGEREF _Toc167782875 \h </w:instrText>
        </w:r>
        <w:r w:rsidR="004F4C76">
          <w:rPr>
            <w:noProof/>
            <w:webHidden/>
          </w:rPr>
        </w:r>
        <w:r w:rsidR="004F4C76">
          <w:rPr>
            <w:noProof/>
            <w:webHidden/>
          </w:rPr>
          <w:fldChar w:fldCharType="separate"/>
        </w:r>
        <w:r w:rsidR="004F4C76">
          <w:rPr>
            <w:noProof/>
            <w:webHidden/>
          </w:rPr>
          <w:t>56</w:t>
        </w:r>
        <w:r w:rsidR="004F4C76">
          <w:rPr>
            <w:noProof/>
            <w:webHidden/>
          </w:rPr>
          <w:fldChar w:fldCharType="end"/>
        </w:r>
      </w:hyperlink>
    </w:p>
    <w:p w14:paraId="5DB80DBA" w14:textId="3ACE1714" w:rsidR="008F6182" w:rsidRDefault="00690547" w:rsidP="007F17DE">
      <w:r>
        <w:rPr>
          <w:color w:val="0B1C32" w:themeColor="text1"/>
        </w:rPr>
        <w:fldChar w:fldCharType="end"/>
      </w:r>
    </w:p>
    <w:p w14:paraId="4A8D6F2B" w14:textId="77777777" w:rsidR="005F2C21" w:rsidRDefault="005F2C21">
      <w:pPr>
        <w:spacing w:before="0" w:after="0" w:line="360" w:lineRule="auto"/>
        <w:rPr>
          <w:rFonts w:cstheme="minorHAnsi"/>
          <w:b/>
          <w:sz w:val="40"/>
          <w:szCs w:val="40"/>
        </w:rPr>
      </w:pPr>
      <w:r>
        <w:br w:type="page"/>
      </w:r>
    </w:p>
    <w:p w14:paraId="7814C978" w14:textId="5F43E3F7" w:rsidR="00AD0DB3" w:rsidRPr="00302A27" w:rsidRDefault="00FD75E0" w:rsidP="00881916">
      <w:pPr>
        <w:pStyle w:val="Heading2"/>
      </w:pPr>
      <w:bookmarkStart w:id="1" w:name="_Toc167782845"/>
      <w:r>
        <w:lastRenderedPageBreak/>
        <w:t>Introduction</w:t>
      </w:r>
      <w:bookmarkEnd w:id="1"/>
    </w:p>
    <w:p w14:paraId="02A6A908" w14:textId="77777777" w:rsidR="007F17DE" w:rsidRDefault="007F17DE" w:rsidP="007F17DE">
      <w:pPr>
        <w:pStyle w:val="Heading3"/>
        <w:spacing w:line="276" w:lineRule="auto"/>
      </w:pPr>
      <w:bookmarkStart w:id="2" w:name="_Toc167184293"/>
      <w:bookmarkStart w:id="3" w:name="_Toc167782846"/>
      <w:bookmarkStart w:id="4" w:name="_Toc163647821"/>
      <w:bookmarkStart w:id="5" w:name="_Toc167112872"/>
      <w:r>
        <w:rPr>
          <w:rStyle w:val="Heading3Char"/>
          <w:b/>
          <w:bCs/>
        </w:rPr>
        <w:t>Budgeting and human rights</w:t>
      </w:r>
      <w:bookmarkEnd w:id="2"/>
      <w:bookmarkEnd w:id="3"/>
    </w:p>
    <w:p w14:paraId="4EAF3B1F" w14:textId="77777777" w:rsidR="007F17DE" w:rsidRDefault="007F17DE" w:rsidP="007F17DE">
      <w:r>
        <w:t xml:space="preserve">A government’s budget is a statement of its values as reflected in its spending priorities and its approach to revenue generation. It sets out how much money it intends to generate, allocate and spend. The central goal of a human rights based approach to budgeting is using the budget as a key lever to support rights realisation. In other words, ensuring that every person can live a life of dignity, free from deprivation and inequality. </w:t>
      </w:r>
    </w:p>
    <w:p w14:paraId="337BFC57" w14:textId="77777777" w:rsidR="007F17DE" w:rsidRDefault="007F17DE" w:rsidP="007F17DE">
      <w:r>
        <w:t>The fundamental aim of human rights based budgeting</w:t>
      </w:r>
      <w:r>
        <w:rPr>
          <w:rStyle w:val="EndnoteReference"/>
        </w:rPr>
        <w:endnoteReference w:id="3"/>
      </w:r>
      <w:r>
        <w:t xml:space="preserve"> is that human rights standards shape the goals of a budget and human rights principles shape the process of budgeting in all its phases. These principles include </w:t>
      </w:r>
      <w:r w:rsidRPr="00CC137F">
        <w:rPr>
          <w:b/>
          <w:bCs/>
        </w:rPr>
        <w:t>Accountability</w:t>
      </w:r>
      <w:r>
        <w:t xml:space="preserve">, </w:t>
      </w:r>
      <w:r w:rsidRPr="00CC137F">
        <w:rPr>
          <w:b/>
          <w:bCs/>
        </w:rPr>
        <w:t>Transparency</w:t>
      </w:r>
      <w:r>
        <w:t xml:space="preserve"> and </w:t>
      </w:r>
      <w:r w:rsidRPr="00CC137F">
        <w:rPr>
          <w:b/>
          <w:bCs/>
        </w:rPr>
        <w:t>Participation</w:t>
      </w:r>
      <w:r>
        <w:t>.</w:t>
      </w:r>
    </w:p>
    <w:p w14:paraId="368C6B8D" w14:textId="77777777" w:rsidR="007F17DE" w:rsidRDefault="007F17DE" w:rsidP="007F17DE">
      <w:r w:rsidRPr="006A259F">
        <w:t>As Scotland navigates uncertain times, the importance of transparent, participatory, and accountable governance cannot be overstated. It's not just about balancing the books; it's about ensuring that every penny spent reflects the values, aspirations and rights of the people it serves.</w:t>
      </w:r>
    </w:p>
    <w:p w14:paraId="4406C0D0" w14:textId="77777777" w:rsidR="007F17DE" w:rsidRPr="00552DBD" w:rsidRDefault="007F17DE" w:rsidP="007F17DE">
      <w:pPr>
        <w:pStyle w:val="Heading3"/>
        <w:spacing w:line="276" w:lineRule="auto"/>
      </w:pPr>
      <w:bookmarkStart w:id="6" w:name="_Toc164246985"/>
      <w:bookmarkStart w:id="7" w:name="_Toc167184294"/>
      <w:bookmarkStart w:id="8" w:name="_Toc167782847"/>
      <w:r w:rsidRPr="00552DBD">
        <w:t xml:space="preserve">About the </w:t>
      </w:r>
      <w:r w:rsidRPr="006A259F">
        <w:t xml:space="preserve">Open Budget </w:t>
      </w:r>
      <w:r w:rsidRPr="00552DBD">
        <w:t>Survey</w:t>
      </w:r>
      <w:bookmarkEnd w:id="6"/>
      <w:bookmarkEnd w:id="7"/>
      <w:bookmarkEnd w:id="8"/>
    </w:p>
    <w:p w14:paraId="521FB511" w14:textId="77777777" w:rsidR="007F17DE" w:rsidRPr="00CD30BA" w:rsidRDefault="007F17DE" w:rsidP="007F17DE">
      <w:r w:rsidRPr="00AB314F">
        <w:rPr>
          <w:b/>
          <w:bCs/>
        </w:rPr>
        <w:t>The Open Budget Survey (OBS)</w:t>
      </w:r>
      <w:r w:rsidRPr="001C0351">
        <w:t xml:space="preserve"> </w:t>
      </w:r>
      <w:r>
        <w:t>is the world’s only independent, comparative and fact-based research instrument that uses internationally accepted criteria</w:t>
      </w:r>
      <w:r>
        <w:rPr>
          <w:rStyle w:val="EndnoteReference"/>
        </w:rPr>
        <w:endnoteReference w:id="4"/>
      </w:r>
      <w:r>
        <w:t xml:space="preserve"> to assess public access to central government budget i</w:t>
      </w:r>
      <w:r w:rsidRPr="00CD30BA">
        <w:t>nformation (</w:t>
      </w:r>
      <w:r w:rsidRPr="006A259F">
        <w:rPr>
          <w:b/>
          <w:bCs/>
        </w:rPr>
        <w:t>transparency</w:t>
      </w:r>
      <w:r w:rsidRPr="00CD30BA">
        <w:t>); formal opportunities for the public to participate in the national budget process (</w:t>
      </w:r>
      <w:r w:rsidRPr="006A259F">
        <w:rPr>
          <w:b/>
          <w:bCs/>
        </w:rPr>
        <w:t>public participation</w:t>
      </w:r>
      <w:r w:rsidRPr="00CD30BA">
        <w:t>); and the role of budget oversight institutions (</w:t>
      </w:r>
      <w:r w:rsidRPr="006A259F">
        <w:rPr>
          <w:b/>
          <w:bCs/>
        </w:rPr>
        <w:t>budget oversight</w:t>
      </w:r>
      <w:r w:rsidRPr="00CD30BA">
        <w:t xml:space="preserve">). </w:t>
      </w:r>
    </w:p>
    <w:p w14:paraId="28666995" w14:textId="47A2E7EC" w:rsidR="007F17DE" w:rsidRDefault="007F17DE" w:rsidP="007F17DE">
      <w:pPr>
        <w:ind w:right="-22"/>
      </w:pPr>
      <w:r>
        <w:t>Robust f</w:t>
      </w:r>
      <w:r w:rsidRPr="005901D3">
        <w:t xml:space="preserve">iscal transparency, public participation, and budget oversight </w:t>
      </w:r>
      <w:r>
        <w:t xml:space="preserve">are all </w:t>
      </w:r>
      <w:r w:rsidRPr="005901D3">
        <w:t xml:space="preserve">fundamental </w:t>
      </w:r>
      <w:r>
        <w:t xml:space="preserve">to </w:t>
      </w:r>
      <w:r w:rsidRPr="005901D3">
        <w:t xml:space="preserve">a human rights based approach to </w:t>
      </w:r>
      <w:r>
        <w:t xml:space="preserve">budgeting: an open and participatory budget is an important step in ensuring that public spending is shaped by people and their rights. </w:t>
      </w:r>
    </w:p>
    <w:p w14:paraId="7BED4268" w14:textId="77777777" w:rsidR="007F17DE" w:rsidRDefault="007F17DE" w:rsidP="007F17DE">
      <w:r w:rsidRPr="00734260">
        <w:t>The global OBS has been going for 17 years.</w:t>
      </w:r>
      <w:r>
        <w:t xml:space="preserve"> </w:t>
      </w:r>
      <w:r w:rsidRPr="001C0351">
        <w:t xml:space="preserve">The </w:t>
      </w:r>
      <w:r>
        <w:t>9</w:t>
      </w:r>
      <w:r w:rsidRPr="00AB314F">
        <w:rPr>
          <w:vertAlign w:val="superscript"/>
        </w:rPr>
        <w:t>th</w:t>
      </w:r>
      <w:r>
        <w:t xml:space="preserve"> </w:t>
      </w:r>
      <w:r w:rsidRPr="00734260">
        <w:t>edition covers 12</w:t>
      </w:r>
      <w:r>
        <w:t>5</w:t>
      </w:r>
      <w:r w:rsidRPr="00734260">
        <w:t xml:space="preserve"> countries</w:t>
      </w:r>
      <w:r>
        <w:rPr>
          <w:rStyle w:val="EndnoteReference"/>
        </w:rPr>
        <w:endnoteReference w:id="5"/>
      </w:r>
      <w:r w:rsidRPr="001C0351">
        <w:t xml:space="preserve">, </w:t>
      </w:r>
      <w:r w:rsidRPr="001C0351">
        <w:rPr>
          <w:lang w:val="en-US"/>
        </w:rPr>
        <w:t>encompassing all regions of the world and all income levels</w:t>
      </w:r>
      <w:r>
        <w:t xml:space="preserve">. </w:t>
      </w:r>
      <w:r>
        <w:lastRenderedPageBreak/>
        <w:t>Four years on from the Commission’s first review of Scotland</w:t>
      </w:r>
      <w:r>
        <w:rPr>
          <w:rStyle w:val="EndnoteReference"/>
        </w:rPr>
        <w:endnoteReference w:id="6"/>
      </w:r>
      <w:r>
        <w:t>, this report contains OBS 2023 scores for Scotland</w:t>
      </w:r>
      <w:r>
        <w:rPr>
          <w:rStyle w:val="EndnoteReference"/>
        </w:rPr>
        <w:endnoteReference w:id="7"/>
      </w:r>
      <w:r>
        <w:t>, (Scottish Budget 2021-22). It</w:t>
      </w:r>
      <w:bookmarkStart w:id="9" w:name="_Hlk163452340"/>
      <w:r>
        <w:t xml:space="preserve"> reflects on progress since </w:t>
      </w:r>
      <w:r w:rsidRPr="00CD30BA">
        <w:t>OBS 2019</w:t>
      </w:r>
      <w:r>
        <w:rPr>
          <w:rStyle w:val="EndnoteReference"/>
        </w:rPr>
        <w:endnoteReference w:id="8"/>
      </w:r>
      <w:r>
        <w:t xml:space="preserve"> (Scottish Budget 2017-18).</w:t>
      </w:r>
      <w:bookmarkEnd w:id="9"/>
      <w:r>
        <w:t xml:space="preserve"> </w:t>
      </w:r>
    </w:p>
    <w:p w14:paraId="58198258" w14:textId="77777777" w:rsidR="007F17DE" w:rsidRDefault="007F17DE" w:rsidP="007F17DE">
      <w:r>
        <w:t xml:space="preserve">Visit </w:t>
      </w:r>
      <w:hyperlink r:id="rId8" w:history="1">
        <w:r w:rsidRPr="004C20B5">
          <w:rPr>
            <w:rStyle w:val="Hyperlink"/>
          </w:rPr>
          <w:t>International Budget Partnership's website</w:t>
        </w:r>
      </w:hyperlink>
      <w:r>
        <w:rPr>
          <w:rStyle w:val="EndnoteReference"/>
        </w:rPr>
        <w:endnoteReference w:id="9"/>
      </w:r>
      <w:r>
        <w:t xml:space="preserve"> for more information, including the full OBS methodology, 2023 Global and Regional Reports, and the Data Explorer.</w:t>
      </w:r>
    </w:p>
    <w:p w14:paraId="107A5B67" w14:textId="77777777" w:rsidR="007F17DE" w:rsidRDefault="007F17DE" w:rsidP="007F17DE">
      <w:pPr>
        <w:pStyle w:val="Heading3"/>
        <w:spacing w:line="276" w:lineRule="auto"/>
      </w:pPr>
      <w:bookmarkStart w:id="10" w:name="_Toc167112873"/>
      <w:bookmarkStart w:id="11" w:name="_Toc167782848"/>
      <w:r>
        <w:t>Report structure</w:t>
      </w:r>
      <w:bookmarkEnd w:id="10"/>
      <w:bookmarkEnd w:id="11"/>
      <w:r>
        <w:t xml:space="preserve"> </w:t>
      </w:r>
    </w:p>
    <w:p w14:paraId="41112DB3" w14:textId="34B123CC" w:rsidR="007F17DE" w:rsidRDefault="007F17DE" w:rsidP="007F17DE">
      <w:r>
        <w:t>There are five further sections to this report. Sections 3-5 present the key findings and Survey Scores for Scotland for transparency, public participation and oversight, with a reflection on what has changed in OBS 2023 from OBS 2019. The</w:t>
      </w:r>
      <w:r w:rsidR="0033343E">
        <w:t>se</w:t>
      </w:r>
      <w:r>
        <w:t xml:space="preserve"> sections also outline</w:t>
      </w:r>
      <w:r w:rsidR="0033343E">
        <w:t xml:space="preserve"> </w:t>
      </w:r>
      <w:r>
        <w:t>the key recommendations made by this report for further improvements to the Scottish budget process. The final section concludes the report.</w:t>
      </w:r>
    </w:p>
    <w:p w14:paraId="4B12F71B" w14:textId="77777777" w:rsidR="007F17DE" w:rsidRDefault="007F17DE" w:rsidP="007F17DE">
      <w:r>
        <w:t>Three Appendices then set out:</w:t>
      </w:r>
    </w:p>
    <w:p w14:paraId="319EA0CC" w14:textId="0F58C85B" w:rsidR="007F17DE" w:rsidRDefault="007F17DE" w:rsidP="007F17DE">
      <w:pPr>
        <w:pStyle w:val="Bulletted"/>
      </w:pPr>
      <w:r>
        <w:t xml:space="preserve">the methodology taken (including the specific methods to identify all relevant documentation and scoring peer review notes) </w:t>
      </w:r>
    </w:p>
    <w:p w14:paraId="2D8B91B8" w14:textId="5C0AFE15" w:rsidR="007F17DE" w:rsidRDefault="007F17DE" w:rsidP="007F17DE">
      <w:pPr>
        <w:pStyle w:val="Bulletted"/>
      </w:pPr>
      <w:r>
        <w:t>further information about budget documents assessed by the OBS</w:t>
      </w:r>
    </w:p>
    <w:p w14:paraId="5E6210FD" w14:textId="2CC26038" w:rsidR="007F17DE" w:rsidRDefault="007F17DE" w:rsidP="007F17DE">
      <w:pPr>
        <w:pStyle w:val="Bulletted"/>
      </w:pPr>
      <w:r>
        <w:t>the key building blocks that have been/ are being installed in the Scottish Budget Process since OBS 2019, that are not reflected in the OBS 2023 Scores, but which could be reflected in future OBS Scores</w:t>
      </w:r>
    </w:p>
    <w:p w14:paraId="7332AF3F" w14:textId="77777777" w:rsidR="007F17DE" w:rsidRDefault="007F17DE" w:rsidP="007F17DE">
      <w:r>
        <w:t xml:space="preserve">This report is accompanied by a separate Annex which sets out: </w:t>
      </w:r>
    </w:p>
    <w:p w14:paraId="6B46DD5C" w14:textId="587BA23E" w:rsidR="007F17DE" w:rsidRPr="007F17DE" w:rsidRDefault="007F17DE" w:rsidP="007F17DE">
      <w:pPr>
        <w:pStyle w:val="Bulletted"/>
      </w:pPr>
      <w:r>
        <w:t>details of the answers to each specific question of the OBS, with comparative scores for Scotland’s OBS 2019 and UK 2023 scores, and explanatory notes for the scores and reasons for changes between 2019 and 2023.</w:t>
      </w:r>
      <w:r>
        <w:br w:type="page"/>
      </w:r>
    </w:p>
    <w:p w14:paraId="511BBA01" w14:textId="33B12EA7" w:rsidR="007F17DE" w:rsidRDefault="007F17DE" w:rsidP="00881916">
      <w:pPr>
        <w:pStyle w:val="Heading2"/>
      </w:pPr>
      <w:bookmarkStart w:id="12" w:name="_Toc167782849"/>
      <w:r>
        <w:lastRenderedPageBreak/>
        <w:t>Open Budget Survey and Scotland</w:t>
      </w:r>
      <w:bookmarkEnd w:id="12"/>
    </w:p>
    <w:p w14:paraId="466C2BF4" w14:textId="77777777" w:rsidR="007F17DE" w:rsidRPr="00861E9B" w:rsidRDefault="007F17DE" w:rsidP="007F17DE">
      <w:pPr>
        <w:pStyle w:val="Heading3"/>
        <w:spacing w:line="276" w:lineRule="auto"/>
      </w:pPr>
      <w:bookmarkStart w:id="13" w:name="_Toc167184295"/>
      <w:bookmarkStart w:id="14" w:name="_Toc167782850"/>
      <w:r>
        <w:t>In summary: Scotland’s 2023 scores</w:t>
      </w:r>
      <w:bookmarkEnd w:id="13"/>
      <w:bookmarkEnd w:id="14"/>
    </w:p>
    <w:tbl>
      <w:tblPr>
        <w:tblStyle w:val="TableGrid"/>
        <w:tblW w:w="0" w:type="auto"/>
        <w:tblLook w:val="04A0" w:firstRow="1" w:lastRow="0" w:firstColumn="1" w:lastColumn="0" w:noHBand="0" w:noVBand="1"/>
        <w:tblCaption w:val="Scores out of 100. Transparency 60, public participation 43 and budget oversight 91"/>
      </w:tblPr>
      <w:tblGrid>
        <w:gridCol w:w="3107"/>
        <w:gridCol w:w="3108"/>
        <w:gridCol w:w="3108"/>
      </w:tblGrid>
      <w:tr w:rsidR="007F17DE" w14:paraId="5153125B" w14:textId="77777777" w:rsidTr="00115F4B">
        <w:trPr>
          <w:cantSplit/>
          <w:tblHeader/>
        </w:trPr>
        <w:tc>
          <w:tcPr>
            <w:tcW w:w="3107" w:type="dxa"/>
            <w:shd w:val="clear" w:color="auto" w:fill="8BADDC"/>
          </w:tcPr>
          <w:p w14:paraId="3EDEFD6B" w14:textId="77777777" w:rsidR="007F17DE" w:rsidRPr="00C846D7" w:rsidRDefault="007F17DE" w:rsidP="002B7407">
            <w:pPr>
              <w:rPr>
                <w:color w:val="0B1C32"/>
              </w:rPr>
            </w:pPr>
            <w:r w:rsidRPr="00125045">
              <w:rPr>
                <w:b/>
                <w:bCs/>
                <w:color w:val="0B1C32"/>
              </w:rPr>
              <w:t>Transparency</w:t>
            </w:r>
            <w:r w:rsidRPr="00125045">
              <w:rPr>
                <w:color w:val="0B1C32"/>
              </w:rPr>
              <w:t xml:space="preserve">: </w:t>
            </w:r>
          </w:p>
        </w:tc>
        <w:tc>
          <w:tcPr>
            <w:tcW w:w="3108" w:type="dxa"/>
            <w:shd w:val="clear" w:color="auto" w:fill="8BADDC"/>
          </w:tcPr>
          <w:p w14:paraId="0BACBA2E" w14:textId="77777777" w:rsidR="007F17DE" w:rsidRPr="00C846D7" w:rsidRDefault="007F17DE" w:rsidP="002B7407">
            <w:pPr>
              <w:rPr>
                <w:b/>
                <w:bCs/>
                <w:color w:val="0B1C32"/>
              </w:rPr>
            </w:pPr>
            <w:r w:rsidRPr="00125045">
              <w:rPr>
                <w:b/>
                <w:bCs/>
                <w:color w:val="0B1C32"/>
              </w:rPr>
              <w:t>Public Participation:</w:t>
            </w:r>
          </w:p>
        </w:tc>
        <w:tc>
          <w:tcPr>
            <w:tcW w:w="3108" w:type="dxa"/>
            <w:shd w:val="clear" w:color="auto" w:fill="8BADDC"/>
          </w:tcPr>
          <w:p w14:paraId="7C6F350C" w14:textId="77777777" w:rsidR="007F17DE" w:rsidRPr="00C846D7" w:rsidRDefault="007F17DE" w:rsidP="002B7407">
            <w:pPr>
              <w:rPr>
                <w:b/>
                <w:bCs/>
              </w:rPr>
            </w:pPr>
            <w:r w:rsidRPr="00552DBD">
              <w:rPr>
                <w:b/>
                <w:bCs/>
              </w:rPr>
              <w:t>Budget Oversight:</w:t>
            </w:r>
          </w:p>
        </w:tc>
      </w:tr>
      <w:tr w:rsidR="007F17DE" w14:paraId="151F38D3" w14:textId="77777777" w:rsidTr="002B7407">
        <w:tc>
          <w:tcPr>
            <w:tcW w:w="3107" w:type="dxa"/>
          </w:tcPr>
          <w:p w14:paraId="7AF416C7" w14:textId="74370B14" w:rsidR="007F17DE" w:rsidRPr="00607D00" w:rsidRDefault="007F17DE" w:rsidP="002B7407">
            <w:pPr>
              <w:rPr>
                <w:color w:val="0B1C32"/>
              </w:rPr>
            </w:pPr>
            <w:r w:rsidRPr="00607D00">
              <w:rPr>
                <w:color w:val="0B1C32"/>
              </w:rPr>
              <w:t>60</w:t>
            </w:r>
            <w:r w:rsidR="00FF2A10">
              <w:rPr>
                <w:color w:val="0B1C32"/>
              </w:rPr>
              <w:t xml:space="preserve"> out of </w:t>
            </w:r>
            <w:r w:rsidRPr="00607D00">
              <w:rPr>
                <w:color w:val="0B1C32"/>
              </w:rPr>
              <w:t>100</w:t>
            </w:r>
          </w:p>
        </w:tc>
        <w:tc>
          <w:tcPr>
            <w:tcW w:w="3108" w:type="dxa"/>
          </w:tcPr>
          <w:p w14:paraId="011ADBD0" w14:textId="3ACB0FF7" w:rsidR="007F17DE" w:rsidRPr="00607D00" w:rsidRDefault="007F17DE" w:rsidP="002B7407">
            <w:pPr>
              <w:rPr>
                <w:color w:val="0B1C32"/>
              </w:rPr>
            </w:pPr>
            <w:r w:rsidRPr="00607D00">
              <w:rPr>
                <w:color w:val="0B1C32"/>
              </w:rPr>
              <w:t>43</w:t>
            </w:r>
            <w:r w:rsidR="00FF2A10">
              <w:rPr>
                <w:color w:val="0B1C32"/>
              </w:rPr>
              <w:t xml:space="preserve"> out of </w:t>
            </w:r>
            <w:r w:rsidRPr="00607D00">
              <w:rPr>
                <w:color w:val="0B1C32"/>
              </w:rPr>
              <w:t>100</w:t>
            </w:r>
          </w:p>
        </w:tc>
        <w:tc>
          <w:tcPr>
            <w:tcW w:w="3108" w:type="dxa"/>
          </w:tcPr>
          <w:p w14:paraId="7E6F766D" w14:textId="3740938E" w:rsidR="007F17DE" w:rsidRPr="00607D00" w:rsidRDefault="007F17DE" w:rsidP="002B7407">
            <w:r w:rsidRPr="00607D00">
              <w:t>91</w:t>
            </w:r>
            <w:r w:rsidR="00FF2A10">
              <w:t xml:space="preserve"> out of </w:t>
            </w:r>
            <w:r w:rsidRPr="00607D00">
              <w:t>100</w:t>
            </w:r>
          </w:p>
        </w:tc>
      </w:tr>
    </w:tbl>
    <w:p w14:paraId="13756514" w14:textId="0AD26411" w:rsidR="00C57B2E" w:rsidRDefault="00C57B2E" w:rsidP="007F17DE">
      <w:pPr>
        <w:pStyle w:val="Heading3"/>
        <w:spacing w:line="276" w:lineRule="auto"/>
      </w:pPr>
      <w:bookmarkStart w:id="15" w:name="_Toc167782851"/>
      <w:r>
        <w:t>Survey Process in Scotland</w:t>
      </w:r>
      <w:bookmarkEnd w:id="4"/>
      <w:bookmarkEnd w:id="5"/>
      <w:bookmarkEnd w:id="15"/>
      <w:r>
        <w:t xml:space="preserve"> </w:t>
      </w:r>
    </w:p>
    <w:p w14:paraId="19B35F53" w14:textId="77777777" w:rsidR="00C57B2E" w:rsidRDefault="00C57B2E" w:rsidP="007F17DE">
      <w:r>
        <w:t>The UK government’s budget process is assessed by the OBS</w:t>
      </w:r>
      <w:r>
        <w:rPr>
          <w:rStyle w:val="EndnoteReference"/>
        </w:rPr>
        <w:endnoteReference w:id="10"/>
      </w:r>
      <w:r>
        <w:t xml:space="preserve">, however, as a sub-national government, Scotland’s devolved budgeting processes are not specifically subject to assessment. </w:t>
      </w:r>
    </w:p>
    <w:p w14:paraId="115CA954" w14:textId="2C006FCF" w:rsidR="00C57B2E" w:rsidRDefault="00C57B2E" w:rsidP="007F17DE">
      <w:r>
        <w:t>In 2018, the Scottish Human Rights Commission (the Commission) with the support of the International Budget Partnership (IBP)</w:t>
      </w:r>
      <w:r>
        <w:rPr>
          <w:rStyle w:val="EndnoteReference"/>
        </w:rPr>
        <w:endnoteReference w:id="11"/>
      </w:r>
      <w:r>
        <w:t xml:space="preserve">, followed the OBS methodology to produce scores for Scotland that were comparable with the Global OBS 2019 results. The Transparency, Oversight and Public Engagement scores from that study provide a useful benchmark, as many transformational changes were identified and work to address them set to begin from the 2018-19 budget process. </w:t>
      </w:r>
    </w:p>
    <w:p w14:paraId="2AD8BB82" w14:textId="77777777" w:rsidR="00C57B2E" w:rsidRDefault="00C57B2E" w:rsidP="007F17DE">
      <w:r>
        <w:t xml:space="preserve">Globally this Survey is repeated every two years. A decision was made to repeat this Survey in Scotland after a four year period, to provide time for Scotland’s new budget process to have an impact. OBS 2023, which covers the 2021-22 Scottish Budget, provides an indication of the extent of progress that has been made. </w:t>
      </w:r>
    </w:p>
    <w:p w14:paraId="779CE01F" w14:textId="77777777" w:rsidR="007F17DE" w:rsidRDefault="007F17DE">
      <w:pPr>
        <w:spacing w:before="0" w:after="0" w:line="360" w:lineRule="auto"/>
        <w:rPr>
          <w:b/>
          <w:kern w:val="24"/>
          <w:sz w:val="32"/>
          <w:szCs w:val="32"/>
        </w:rPr>
      </w:pPr>
      <w:bookmarkStart w:id="16" w:name="_Toc163647823"/>
      <w:bookmarkStart w:id="17" w:name="_Toc167112874"/>
      <w:r>
        <w:br w:type="page"/>
      </w:r>
    </w:p>
    <w:p w14:paraId="6E2A0C0E" w14:textId="2E972616" w:rsidR="00C57B2E" w:rsidRDefault="00C57B2E" w:rsidP="007F17DE">
      <w:pPr>
        <w:pStyle w:val="Heading3"/>
        <w:spacing w:line="276" w:lineRule="auto"/>
      </w:pPr>
      <w:bookmarkStart w:id="18" w:name="_Toc167782852"/>
      <w:r>
        <w:lastRenderedPageBreak/>
        <w:t>Understanding the scores</w:t>
      </w:r>
      <w:bookmarkEnd w:id="16"/>
      <w:bookmarkEnd w:id="17"/>
      <w:bookmarkEnd w:id="18"/>
    </w:p>
    <w:p w14:paraId="5E1D7A02" w14:textId="2F3273B5" w:rsidR="00C57B2E" w:rsidRDefault="00C57B2E" w:rsidP="007F17DE">
      <w:bookmarkStart w:id="19" w:name="_Toc167112875"/>
      <w:r>
        <w:t>Tab</w:t>
      </w:r>
      <w:r w:rsidR="00302A27">
        <w:t>l</w:t>
      </w:r>
      <w:r>
        <w:t xml:space="preserve">e 1 - Breakdown of OBI </w:t>
      </w:r>
      <w:r w:rsidR="00BF4A48">
        <w:t xml:space="preserve">Transparency </w:t>
      </w:r>
      <w:r>
        <w:t>Score Groupings</w:t>
      </w:r>
      <w:bookmarkEnd w:id="19"/>
      <w:r>
        <w:t xml:space="preserve"> </w:t>
      </w:r>
    </w:p>
    <w:tbl>
      <w:tblPr>
        <w:tblStyle w:val="TableGrid"/>
        <w:tblW w:w="9634" w:type="dxa"/>
        <w:tblLook w:val="04A0" w:firstRow="1" w:lastRow="0" w:firstColumn="1" w:lastColumn="0" w:noHBand="0" w:noVBand="1"/>
        <w:tblCaption w:val="Table 1 - Breakdown of OBI Transparency Score Groupings "/>
      </w:tblPr>
      <w:tblGrid>
        <w:gridCol w:w="7508"/>
        <w:gridCol w:w="2126"/>
      </w:tblGrid>
      <w:tr w:rsidR="008B7E2F" w14:paraId="37934732" w14:textId="77777777" w:rsidTr="00A42F73">
        <w:trPr>
          <w:cantSplit/>
          <w:trHeight w:val="676"/>
          <w:tblHeader/>
        </w:trPr>
        <w:tc>
          <w:tcPr>
            <w:tcW w:w="7508" w:type="dxa"/>
            <w:shd w:val="clear" w:color="auto" w:fill="8BADDC"/>
          </w:tcPr>
          <w:p w14:paraId="7A3DB671" w14:textId="4D303552" w:rsidR="008B7E2F" w:rsidRPr="00A42F73" w:rsidRDefault="008B7E2F" w:rsidP="007F17DE">
            <w:pPr>
              <w:rPr>
                <w:sz w:val="24"/>
                <w:szCs w:val="24"/>
              </w:rPr>
            </w:pPr>
            <w:r w:rsidRPr="00A42F73">
              <w:rPr>
                <w:sz w:val="24"/>
                <w:szCs w:val="24"/>
              </w:rPr>
              <w:t>Benchmark</w:t>
            </w:r>
          </w:p>
        </w:tc>
        <w:tc>
          <w:tcPr>
            <w:tcW w:w="2126" w:type="dxa"/>
            <w:shd w:val="clear" w:color="auto" w:fill="8BADDC"/>
          </w:tcPr>
          <w:p w14:paraId="2C8CFB59" w14:textId="440343BB" w:rsidR="008B7E2F" w:rsidRPr="00A42F73" w:rsidRDefault="008B7E2F" w:rsidP="007F17DE">
            <w:pPr>
              <w:rPr>
                <w:sz w:val="24"/>
                <w:szCs w:val="24"/>
              </w:rPr>
            </w:pPr>
            <w:r w:rsidRPr="00A42F73">
              <w:rPr>
                <w:sz w:val="24"/>
                <w:szCs w:val="24"/>
              </w:rPr>
              <w:t>Score</w:t>
            </w:r>
          </w:p>
        </w:tc>
      </w:tr>
      <w:tr w:rsidR="008B7E2F" w14:paraId="70483692" w14:textId="77777777" w:rsidTr="00A42F73">
        <w:tc>
          <w:tcPr>
            <w:tcW w:w="7508" w:type="dxa"/>
          </w:tcPr>
          <w:p w14:paraId="281F160B" w14:textId="1BA9DC1F" w:rsidR="008B7E2F" w:rsidRPr="008B7E2F" w:rsidRDefault="008B7E2F" w:rsidP="007F17DE">
            <w:pPr>
              <w:rPr>
                <w:sz w:val="24"/>
                <w:szCs w:val="24"/>
              </w:rPr>
            </w:pPr>
            <w:r w:rsidRPr="008B7E2F">
              <w:rPr>
                <w:sz w:val="24"/>
                <w:szCs w:val="24"/>
              </w:rPr>
              <w:t>Scant or No Information Available</w:t>
            </w:r>
          </w:p>
        </w:tc>
        <w:tc>
          <w:tcPr>
            <w:tcW w:w="2126" w:type="dxa"/>
          </w:tcPr>
          <w:p w14:paraId="4B9D6568" w14:textId="02841545" w:rsidR="008B7E2F" w:rsidRPr="008B7E2F" w:rsidRDefault="008B7E2F" w:rsidP="007F17DE">
            <w:pPr>
              <w:rPr>
                <w:sz w:val="24"/>
                <w:szCs w:val="24"/>
              </w:rPr>
            </w:pPr>
            <w:r w:rsidRPr="008B7E2F">
              <w:rPr>
                <w:sz w:val="24"/>
                <w:szCs w:val="24"/>
              </w:rPr>
              <w:t>0-20</w:t>
            </w:r>
          </w:p>
        </w:tc>
      </w:tr>
      <w:tr w:rsidR="008B7E2F" w14:paraId="7E79C1FC" w14:textId="77777777" w:rsidTr="00A42F73">
        <w:trPr>
          <w:trHeight w:val="706"/>
        </w:trPr>
        <w:tc>
          <w:tcPr>
            <w:tcW w:w="7508" w:type="dxa"/>
          </w:tcPr>
          <w:p w14:paraId="1D627F8B" w14:textId="4E48A640" w:rsidR="008B7E2F" w:rsidRPr="008B7E2F" w:rsidRDefault="008B7E2F" w:rsidP="007F17DE">
            <w:pPr>
              <w:rPr>
                <w:sz w:val="24"/>
                <w:szCs w:val="24"/>
              </w:rPr>
            </w:pPr>
            <w:r w:rsidRPr="008B7E2F">
              <w:rPr>
                <w:sz w:val="24"/>
                <w:szCs w:val="24"/>
              </w:rPr>
              <w:t>Minimal Information Available</w:t>
            </w:r>
          </w:p>
        </w:tc>
        <w:tc>
          <w:tcPr>
            <w:tcW w:w="2126" w:type="dxa"/>
          </w:tcPr>
          <w:p w14:paraId="66C3BEC0" w14:textId="26412508" w:rsidR="008B7E2F" w:rsidRPr="008B7E2F" w:rsidRDefault="008B7E2F" w:rsidP="007F17DE">
            <w:pPr>
              <w:rPr>
                <w:sz w:val="24"/>
                <w:szCs w:val="24"/>
              </w:rPr>
            </w:pPr>
            <w:r w:rsidRPr="008B7E2F">
              <w:rPr>
                <w:sz w:val="24"/>
                <w:szCs w:val="24"/>
              </w:rPr>
              <w:t>21-40</w:t>
            </w:r>
          </w:p>
        </w:tc>
      </w:tr>
      <w:tr w:rsidR="008B7E2F" w14:paraId="495E0C45" w14:textId="77777777" w:rsidTr="00A42F73">
        <w:trPr>
          <w:trHeight w:val="581"/>
        </w:trPr>
        <w:tc>
          <w:tcPr>
            <w:tcW w:w="7508" w:type="dxa"/>
          </w:tcPr>
          <w:p w14:paraId="2013D284" w14:textId="77C4CE60" w:rsidR="008B7E2F" w:rsidRPr="008B7E2F" w:rsidRDefault="008B7E2F" w:rsidP="007F17DE">
            <w:pPr>
              <w:rPr>
                <w:sz w:val="24"/>
                <w:szCs w:val="24"/>
              </w:rPr>
            </w:pPr>
            <w:r w:rsidRPr="008B7E2F">
              <w:rPr>
                <w:sz w:val="24"/>
                <w:szCs w:val="24"/>
              </w:rPr>
              <w:t>Limited Information Available</w:t>
            </w:r>
          </w:p>
        </w:tc>
        <w:tc>
          <w:tcPr>
            <w:tcW w:w="2126" w:type="dxa"/>
          </w:tcPr>
          <w:p w14:paraId="337FD012" w14:textId="01F2AD6E" w:rsidR="008B7E2F" w:rsidRPr="008B7E2F" w:rsidRDefault="008B7E2F" w:rsidP="007F17DE">
            <w:pPr>
              <w:rPr>
                <w:sz w:val="24"/>
                <w:szCs w:val="24"/>
              </w:rPr>
            </w:pPr>
            <w:r w:rsidRPr="008B7E2F">
              <w:rPr>
                <w:sz w:val="24"/>
                <w:szCs w:val="24"/>
              </w:rPr>
              <w:t>41-60</w:t>
            </w:r>
          </w:p>
        </w:tc>
      </w:tr>
      <w:tr w:rsidR="008B7E2F" w14:paraId="760B35E6" w14:textId="77777777" w:rsidTr="00A42F73">
        <w:tc>
          <w:tcPr>
            <w:tcW w:w="7508" w:type="dxa"/>
          </w:tcPr>
          <w:p w14:paraId="380982B7" w14:textId="3EC4B76A" w:rsidR="008B7E2F" w:rsidRPr="008B7E2F" w:rsidRDefault="008B7E2F" w:rsidP="007F17DE">
            <w:pPr>
              <w:rPr>
                <w:sz w:val="24"/>
                <w:szCs w:val="24"/>
              </w:rPr>
            </w:pPr>
            <w:r w:rsidRPr="008B7E2F">
              <w:rPr>
                <w:sz w:val="24"/>
                <w:szCs w:val="24"/>
              </w:rPr>
              <w:t>Substantial Information Available</w:t>
            </w:r>
          </w:p>
        </w:tc>
        <w:tc>
          <w:tcPr>
            <w:tcW w:w="2126" w:type="dxa"/>
          </w:tcPr>
          <w:p w14:paraId="5FE8838A" w14:textId="65EAA21C" w:rsidR="008B7E2F" w:rsidRPr="008B7E2F" w:rsidRDefault="008B7E2F" w:rsidP="007F17DE">
            <w:pPr>
              <w:rPr>
                <w:sz w:val="24"/>
                <w:szCs w:val="24"/>
              </w:rPr>
            </w:pPr>
            <w:r w:rsidRPr="008B7E2F">
              <w:rPr>
                <w:sz w:val="24"/>
                <w:szCs w:val="24"/>
              </w:rPr>
              <w:t>61-80</w:t>
            </w:r>
          </w:p>
        </w:tc>
      </w:tr>
      <w:tr w:rsidR="008B7E2F" w14:paraId="790A3C82" w14:textId="77777777" w:rsidTr="00A42F73">
        <w:tc>
          <w:tcPr>
            <w:tcW w:w="7508" w:type="dxa"/>
          </w:tcPr>
          <w:p w14:paraId="271FA08F" w14:textId="3F96F4DD" w:rsidR="008B7E2F" w:rsidRPr="008B7E2F" w:rsidRDefault="00BF4A48" w:rsidP="007F17DE">
            <w:pPr>
              <w:rPr>
                <w:sz w:val="24"/>
                <w:szCs w:val="24"/>
              </w:rPr>
            </w:pPr>
            <w:r>
              <w:rPr>
                <w:sz w:val="24"/>
                <w:szCs w:val="24"/>
              </w:rPr>
              <w:t>E</w:t>
            </w:r>
            <w:r w:rsidR="008B7E2F" w:rsidRPr="008B7E2F">
              <w:rPr>
                <w:sz w:val="24"/>
                <w:szCs w:val="24"/>
              </w:rPr>
              <w:t>xtensive Information Available</w:t>
            </w:r>
          </w:p>
        </w:tc>
        <w:tc>
          <w:tcPr>
            <w:tcW w:w="2126" w:type="dxa"/>
          </w:tcPr>
          <w:p w14:paraId="035F45ED" w14:textId="06356729" w:rsidR="008B7E2F" w:rsidRPr="008B7E2F" w:rsidRDefault="008B7E2F" w:rsidP="007F17DE">
            <w:pPr>
              <w:rPr>
                <w:sz w:val="24"/>
                <w:szCs w:val="24"/>
              </w:rPr>
            </w:pPr>
            <w:r w:rsidRPr="008B7E2F">
              <w:rPr>
                <w:sz w:val="24"/>
                <w:szCs w:val="24"/>
              </w:rPr>
              <w:t>81-100</w:t>
            </w:r>
          </w:p>
        </w:tc>
      </w:tr>
    </w:tbl>
    <w:p w14:paraId="67E045D7" w14:textId="5AC9B39D" w:rsidR="00BF4A48" w:rsidRDefault="00BF4A48" w:rsidP="007F17DE">
      <w:r>
        <w:t>Table 2 - Breakdown of OBI Participation Score Groupings</w:t>
      </w:r>
    </w:p>
    <w:tbl>
      <w:tblPr>
        <w:tblStyle w:val="TableGrid"/>
        <w:tblW w:w="9634" w:type="dxa"/>
        <w:tblLook w:val="04A0" w:firstRow="1" w:lastRow="0" w:firstColumn="1" w:lastColumn="0" w:noHBand="0" w:noVBand="1"/>
        <w:tblCaption w:val="Table 2 - Breakdown of OBI Participation Score Groupings"/>
      </w:tblPr>
      <w:tblGrid>
        <w:gridCol w:w="7508"/>
        <w:gridCol w:w="2126"/>
      </w:tblGrid>
      <w:tr w:rsidR="00BF4A48" w14:paraId="4F5CCAD0" w14:textId="77777777" w:rsidTr="00BF4A48">
        <w:trPr>
          <w:cantSplit/>
          <w:trHeight w:val="676"/>
          <w:tblHeader/>
        </w:trPr>
        <w:tc>
          <w:tcPr>
            <w:tcW w:w="7508" w:type="dxa"/>
            <w:shd w:val="clear" w:color="auto" w:fill="8BADDC"/>
          </w:tcPr>
          <w:p w14:paraId="7EED5F34" w14:textId="361E8DBC" w:rsidR="008B7E2F" w:rsidRPr="008B7E2F" w:rsidRDefault="008B7E2F" w:rsidP="007F17DE">
            <w:pPr>
              <w:rPr>
                <w:sz w:val="24"/>
                <w:szCs w:val="24"/>
              </w:rPr>
            </w:pPr>
            <w:r>
              <w:rPr>
                <w:sz w:val="24"/>
                <w:szCs w:val="24"/>
              </w:rPr>
              <w:t>Benchmark</w:t>
            </w:r>
          </w:p>
        </w:tc>
        <w:tc>
          <w:tcPr>
            <w:tcW w:w="2126" w:type="dxa"/>
            <w:shd w:val="clear" w:color="auto" w:fill="8BADDC"/>
          </w:tcPr>
          <w:p w14:paraId="736A4819" w14:textId="77777777" w:rsidR="008B7E2F" w:rsidRPr="008B7E2F" w:rsidRDefault="008B7E2F" w:rsidP="007F17DE">
            <w:pPr>
              <w:rPr>
                <w:sz w:val="24"/>
                <w:szCs w:val="24"/>
              </w:rPr>
            </w:pPr>
            <w:r w:rsidRPr="008B7E2F">
              <w:rPr>
                <w:sz w:val="24"/>
                <w:szCs w:val="24"/>
              </w:rPr>
              <w:t>Score</w:t>
            </w:r>
          </w:p>
        </w:tc>
      </w:tr>
      <w:tr w:rsidR="00BF4A48" w14:paraId="0DD924DE" w14:textId="77777777" w:rsidTr="00BF4A48">
        <w:tc>
          <w:tcPr>
            <w:tcW w:w="7508" w:type="dxa"/>
          </w:tcPr>
          <w:p w14:paraId="35DD5E69" w14:textId="2FCA37FC" w:rsidR="008B7E2F" w:rsidRPr="008B7E2F" w:rsidRDefault="008B7E2F" w:rsidP="007F17DE">
            <w:pPr>
              <w:rPr>
                <w:sz w:val="24"/>
                <w:szCs w:val="24"/>
              </w:rPr>
            </w:pPr>
            <w:r>
              <w:rPr>
                <w:sz w:val="24"/>
                <w:szCs w:val="24"/>
              </w:rPr>
              <w:t>Few or no opportunities</w:t>
            </w:r>
          </w:p>
        </w:tc>
        <w:tc>
          <w:tcPr>
            <w:tcW w:w="2126" w:type="dxa"/>
          </w:tcPr>
          <w:p w14:paraId="087BBB9D" w14:textId="7D0805E6" w:rsidR="008B7E2F" w:rsidRPr="008B7E2F" w:rsidRDefault="008B7E2F" w:rsidP="007F17DE">
            <w:pPr>
              <w:rPr>
                <w:sz w:val="24"/>
                <w:szCs w:val="24"/>
              </w:rPr>
            </w:pPr>
            <w:r w:rsidRPr="008B7E2F">
              <w:rPr>
                <w:sz w:val="24"/>
                <w:szCs w:val="24"/>
              </w:rPr>
              <w:t>0-</w:t>
            </w:r>
            <w:r>
              <w:rPr>
                <w:sz w:val="24"/>
                <w:szCs w:val="24"/>
              </w:rPr>
              <w:t>40</w:t>
            </w:r>
          </w:p>
        </w:tc>
      </w:tr>
      <w:tr w:rsidR="00BF4A48" w14:paraId="5256F696" w14:textId="77777777" w:rsidTr="00BF4A48">
        <w:trPr>
          <w:trHeight w:val="650"/>
        </w:trPr>
        <w:tc>
          <w:tcPr>
            <w:tcW w:w="7508" w:type="dxa"/>
          </w:tcPr>
          <w:p w14:paraId="5E682047" w14:textId="1985D1EB" w:rsidR="008B7E2F" w:rsidRPr="008B7E2F" w:rsidRDefault="008B7E2F" w:rsidP="007F17DE">
            <w:pPr>
              <w:rPr>
                <w:sz w:val="24"/>
                <w:szCs w:val="24"/>
              </w:rPr>
            </w:pPr>
            <w:r>
              <w:rPr>
                <w:sz w:val="24"/>
                <w:szCs w:val="24"/>
              </w:rPr>
              <w:t>Limited opportunities</w:t>
            </w:r>
          </w:p>
        </w:tc>
        <w:tc>
          <w:tcPr>
            <w:tcW w:w="2126" w:type="dxa"/>
          </w:tcPr>
          <w:p w14:paraId="5BAB3682" w14:textId="1C627264" w:rsidR="008B7E2F" w:rsidRPr="008B7E2F" w:rsidRDefault="008B7E2F" w:rsidP="007F17DE">
            <w:pPr>
              <w:rPr>
                <w:sz w:val="24"/>
                <w:szCs w:val="24"/>
              </w:rPr>
            </w:pPr>
            <w:r>
              <w:rPr>
                <w:sz w:val="24"/>
                <w:szCs w:val="24"/>
              </w:rPr>
              <w:t>41-60</w:t>
            </w:r>
          </w:p>
        </w:tc>
      </w:tr>
      <w:tr w:rsidR="00BF4A48" w14:paraId="1DCAFC77" w14:textId="77777777" w:rsidTr="00BF4A48">
        <w:tc>
          <w:tcPr>
            <w:tcW w:w="7508" w:type="dxa"/>
            <w:tcBorders>
              <w:bottom w:val="single" w:sz="4" w:space="0" w:color="auto"/>
            </w:tcBorders>
          </w:tcPr>
          <w:p w14:paraId="6D3EBEC4" w14:textId="5CE66423" w:rsidR="008B7E2F" w:rsidRPr="008B7E2F" w:rsidRDefault="008B7E2F" w:rsidP="007F17DE">
            <w:pPr>
              <w:rPr>
                <w:sz w:val="24"/>
                <w:szCs w:val="24"/>
              </w:rPr>
            </w:pPr>
            <w:r>
              <w:rPr>
                <w:sz w:val="24"/>
                <w:szCs w:val="24"/>
              </w:rPr>
              <w:t>Adequate opportunities</w:t>
            </w:r>
          </w:p>
        </w:tc>
        <w:tc>
          <w:tcPr>
            <w:tcW w:w="2126" w:type="dxa"/>
            <w:tcBorders>
              <w:bottom w:val="single" w:sz="4" w:space="0" w:color="auto"/>
            </w:tcBorders>
          </w:tcPr>
          <w:p w14:paraId="1B296316" w14:textId="39A66823" w:rsidR="008B7E2F" w:rsidRPr="008B7E2F" w:rsidRDefault="008B7E2F" w:rsidP="007F17DE">
            <w:pPr>
              <w:rPr>
                <w:sz w:val="24"/>
                <w:szCs w:val="24"/>
              </w:rPr>
            </w:pPr>
            <w:r>
              <w:rPr>
                <w:sz w:val="24"/>
                <w:szCs w:val="24"/>
              </w:rPr>
              <w:t>61-100</w:t>
            </w:r>
          </w:p>
        </w:tc>
      </w:tr>
    </w:tbl>
    <w:p w14:paraId="6AA876F1" w14:textId="77777777" w:rsidR="007F17DE" w:rsidRDefault="007F17DE" w:rsidP="007F17DE">
      <w:bookmarkStart w:id="20" w:name="_Toc163647824"/>
    </w:p>
    <w:p w14:paraId="69BB3A6F" w14:textId="77777777" w:rsidR="007F17DE" w:rsidRDefault="007F17DE">
      <w:pPr>
        <w:spacing w:before="0" w:after="0" w:line="360" w:lineRule="auto"/>
      </w:pPr>
      <w:r>
        <w:br w:type="page"/>
      </w:r>
    </w:p>
    <w:p w14:paraId="0A07B017" w14:textId="5BE7E14D" w:rsidR="00BF4A48" w:rsidRDefault="00BF4A48" w:rsidP="007F17DE">
      <w:r>
        <w:lastRenderedPageBreak/>
        <w:t>Table 3 - Breakdown of OBI Oversight Score Groupings</w:t>
      </w:r>
    </w:p>
    <w:tbl>
      <w:tblPr>
        <w:tblStyle w:val="TableGrid"/>
        <w:tblW w:w="9493" w:type="dxa"/>
        <w:tblLook w:val="04A0" w:firstRow="1" w:lastRow="0" w:firstColumn="1" w:lastColumn="0" w:noHBand="0" w:noVBand="1"/>
        <w:tblCaption w:val="Table 3 - Breakdown of OBI Oversight Score Groupings"/>
      </w:tblPr>
      <w:tblGrid>
        <w:gridCol w:w="7508"/>
        <w:gridCol w:w="1985"/>
      </w:tblGrid>
      <w:tr w:rsidR="008B7E2F" w14:paraId="4798CDDA" w14:textId="77777777" w:rsidTr="00BF4A48">
        <w:trPr>
          <w:cantSplit/>
          <w:trHeight w:val="650"/>
          <w:tblHeader/>
        </w:trPr>
        <w:tc>
          <w:tcPr>
            <w:tcW w:w="7508" w:type="dxa"/>
            <w:shd w:val="clear" w:color="auto" w:fill="8BADDC"/>
          </w:tcPr>
          <w:p w14:paraId="3AC59138" w14:textId="05E826A0" w:rsidR="008B7E2F" w:rsidRPr="008B7E2F" w:rsidRDefault="00BF4A48" w:rsidP="007F17DE">
            <w:pPr>
              <w:rPr>
                <w:bCs/>
                <w:sz w:val="24"/>
                <w:szCs w:val="24"/>
              </w:rPr>
            </w:pPr>
            <w:r>
              <w:rPr>
                <w:bCs/>
                <w:sz w:val="24"/>
                <w:szCs w:val="24"/>
              </w:rPr>
              <w:t>Benchmark</w:t>
            </w:r>
          </w:p>
        </w:tc>
        <w:tc>
          <w:tcPr>
            <w:tcW w:w="1985" w:type="dxa"/>
            <w:shd w:val="clear" w:color="auto" w:fill="8BADDC"/>
          </w:tcPr>
          <w:p w14:paraId="4860E0B1" w14:textId="7A7BC2E2" w:rsidR="008B7E2F" w:rsidRPr="008B7E2F" w:rsidRDefault="008B7E2F" w:rsidP="007F17DE">
            <w:pPr>
              <w:rPr>
                <w:rStyle w:val="Strong"/>
                <w:b w:val="0"/>
              </w:rPr>
            </w:pPr>
            <w:r w:rsidRPr="008B7E2F">
              <w:rPr>
                <w:rStyle w:val="Strong"/>
                <w:b w:val="0"/>
              </w:rPr>
              <w:t>Score</w:t>
            </w:r>
          </w:p>
        </w:tc>
      </w:tr>
      <w:tr w:rsidR="008B7E2F" w14:paraId="2557B580" w14:textId="77777777" w:rsidTr="00BF4A48">
        <w:trPr>
          <w:trHeight w:val="560"/>
        </w:trPr>
        <w:tc>
          <w:tcPr>
            <w:tcW w:w="7508" w:type="dxa"/>
          </w:tcPr>
          <w:p w14:paraId="67232BA8" w14:textId="725E16AA" w:rsidR="008B7E2F" w:rsidRPr="008B7E2F" w:rsidRDefault="008B7E2F" w:rsidP="007F17DE">
            <w:pPr>
              <w:rPr>
                <w:bCs/>
                <w:kern w:val="24"/>
                <w:sz w:val="24"/>
                <w:szCs w:val="24"/>
              </w:rPr>
            </w:pPr>
            <w:r w:rsidRPr="008B7E2F">
              <w:rPr>
                <w:bCs/>
                <w:sz w:val="24"/>
                <w:szCs w:val="24"/>
              </w:rPr>
              <w:t>Weak Oversight</w:t>
            </w:r>
          </w:p>
        </w:tc>
        <w:tc>
          <w:tcPr>
            <w:tcW w:w="1985" w:type="dxa"/>
          </w:tcPr>
          <w:p w14:paraId="4B4EB3E2" w14:textId="1E9876B0" w:rsidR="008B7E2F" w:rsidRPr="008B7E2F" w:rsidRDefault="008B7E2F" w:rsidP="007F17DE">
            <w:pPr>
              <w:rPr>
                <w:bCs/>
                <w:kern w:val="24"/>
                <w:sz w:val="24"/>
                <w:szCs w:val="24"/>
              </w:rPr>
            </w:pPr>
            <w:r w:rsidRPr="008B7E2F">
              <w:rPr>
                <w:rStyle w:val="Strong"/>
                <w:b w:val="0"/>
              </w:rPr>
              <w:t>0-40</w:t>
            </w:r>
          </w:p>
        </w:tc>
      </w:tr>
      <w:tr w:rsidR="008B7E2F" w14:paraId="4786EA52" w14:textId="77777777" w:rsidTr="00BF4A48">
        <w:trPr>
          <w:trHeight w:val="554"/>
        </w:trPr>
        <w:tc>
          <w:tcPr>
            <w:tcW w:w="7508" w:type="dxa"/>
          </w:tcPr>
          <w:p w14:paraId="164027F6" w14:textId="5A0E0C63" w:rsidR="008B7E2F" w:rsidRPr="008B7E2F" w:rsidRDefault="008B7E2F" w:rsidP="007F17DE">
            <w:pPr>
              <w:rPr>
                <w:bCs/>
                <w:kern w:val="24"/>
                <w:sz w:val="24"/>
                <w:szCs w:val="24"/>
              </w:rPr>
            </w:pPr>
            <w:r w:rsidRPr="008B7E2F">
              <w:rPr>
                <w:bCs/>
                <w:sz w:val="24"/>
                <w:szCs w:val="24"/>
              </w:rPr>
              <w:t>Limited Oversight</w:t>
            </w:r>
          </w:p>
        </w:tc>
        <w:tc>
          <w:tcPr>
            <w:tcW w:w="1985" w:type="dxa"/>
          </w:tcPr>
          <w:p w14:paraId="3649C7E8" w14:textId="67FE129F" w:rsidR="008B7E2F" w:rsidRPr="008B7E2F" w:rsidRDefault="008B7E2F" w:rsidP="007F17DE">
            <w:pPr>
              <w:rPr>
                <w:bCs/>
                <w:kern w:val="24"/>
                <w:sz w:val="24"/>
                <w:szCs w:val="24"/>
              </w:rPr>
            </w:pPr>
            <w:r w:rsidRPr="008B7E2F">
              <w:rPr>
                <w:rStyle w:val="Strong"/>
                <w:b w:val="0"/>
              </w:rPr>
              <w:t>41-60</w:t>
            </w:r>
          </w:p>
        </w:tc>
      </w:tr>
      <w:tr w:rsidR="008B7E2F" w14:paraId="4495F334" w14:textId="77777777" w:rsidTr="00BF4A48">
        <w:trPr>
          <w:trHeight w:val="562"/>
        </w:trPr>
        <w:tc>
          <w:tcPr>
            <w:tcW w:w="7508" w:type="dxa"/>
          </w:tcPr>
          <w:p w14:paraId="6646E913" w14:textId="479FDD6B" w:rsidR="008B7E2F" w:rsidRPr="008B7E2F" w:rsidRDefault="008B7E2F" w:rsidP="007F17DE">
            <w:pPr>
              <w:rPr>
                <w:bCs/>
                <w:sz w:val="24"/>
                <w:szCs w:val="24"/>
              </w:rPr>
            </w:pPr>
            <w:r w:rsidRPr="008B7E2F">
              <w:rPr>
                <w:bCs/>
                <w:sz w:val="24"/>
                <w:szCs w:val="24"/>
              </w:rPr>
              <w:t>Adequate Oversight</w:t>
            </w:r>
          </w:p>
        </w:tc>
        <w:tc>
          <w:tcPr>
            <w:tcW w:w="1985" w:type="dxa"/>
          </w:tcPr>
          <w:p w14:paraId="49686275" w14:textId="5AFE2F4E" w:rsidR="008B7E2F" w:rsidRPr="008B7E2F" w:rsidRDefault="008B7E2F" w:rsidP="007F17DE">
            <w:pPr>
              <w:rPr>
                <w:rStyle w:val="Strong"/>
                <w:bCs w:val="0"/>
              </w:rPr>
            </w:pPr>
            <w:r w:rsidRPr="008B7E2F">
              <w:rPr>
                <w:bCs/>
                <w:sz w:val="24"/>
                <w:szCs w:val="24"/>
              </w:rPr>
              <w:t>61-100</w:t>
            </w:r>
          </w:p>
        </w:tc>
      </w:tr>
    </w:tbl>
    <w:p w14:paraId="6206E16A" w14:textId="77777777" w:rsidR="008B7E2F" w:rsidRDefault="008B7E2F" w:rsidP="007F17DE">
      <w:pPr>
        <w:rPr>
          <w:b/>
          <w:kern w:val="24"/>
          <w:sz w:val="36"/>
          <w:szCs w:val="36"/>
        </w:rPr>
      </w:pPr>
    </w:p>
    <w:p w14:paraId="579723FB" w14:textId="77777777" w:rsidR="008B7E2F" w:rsidRDefault="008B7E2F" w:rsidP="007F17DE">
      <w:pPr>
        <w:rPr>
          <w:rFonts w:cstheme="minorHAnsi"/>
          <w:b/>
          <w:sz w:val="40"/>
          <w:szCs w:val="40"/>
        </w:rPr>
      </w:pPr>
      <w:bookmarkStart w:id="21" w:name="_Toc167112816"/>
      <w:bookmarkStart w:id="22" w:name="_Toc167112876"/>
      <w:r>
        <w:br w:type="page"/>
      </w:r>
    </w:p>
    <w:p w14:paraId="5FA5345D" w14:textId="12796EAA" w:rsidR="00C57B2E" w:rsidRDefault="00C57B2E" w:rsidP="00881916">
      <w:pPr>
        <w:pStyle w:val="Heading2"/>
      </w:pPr>
      <w:bookmarkStart w:id="23" w:name="_Toc167782853"/>
      <w:r>
        <w:lastRenderedPageBreak/>
        <w:t>Transparency</w:t>
      </w:r>
      <w:bookmarkEnd w:id="21"/>
      <w:bookmarkEnd w:id="22"/>
      <w:bookmarkEnd w:id="23"/>
      <w:r>
        <w:t xml:space="preserve"> </w:t>
      </w:r>
      <w:bookmarkEnd w:id="20"/>
    </w:p>
    <w:p w14:paraId="5FD6B74A" w14:textId="3D11E23A" w:rsidR="00C57B2E" w:rsidRPr="00C51142" w:rsidRDefault="00C57B2E" w:rsidP="007F17DE">
      <w:pPr>
        <w:rPr>
          <w:rFonts w:cs="Arial"/>
        </w:rPr>
      </w:pPr>
      <w:r>
        <w:rPr>
          <w:rFonts w:cs="Arial"/>
        </w:rPr>
        <w:t>E</w:t>
      </w:r>
      <w:r w:rsidRPr="00C51142">
        <w:rPr>
          <w:rFonts w:cs="Arial"/>
        </w:rPr>
        <w:t xml:space="preserve">asy and timely access to </w:t>
      </w:r>
      <w:r>
        <w:rPr>
          <w:rFonts w:cs="Arial"/>
        </w:rPr>
        <w:t>the</w:t>
      </w:r>
      <w:r w:rsidRPr="00C51142">
        <w:rPr>
          <w:rFonts w:cs="Arial"/>
        </w:rPr>
        <w:t xml:space="preserve"> full range of budget information is a fundamental component of </w:t>
      </w:r>
      <w:r>
        <w:rPr>
          <w:rFonts w:cs="Arial"/>
        </w:rPr>
        <w:t>a transparent</w:t>
      </w:r>
      <w:r w:rsidR="00115F4B">
        <w:rPr>
          <w:rFonts w:cs="Arial"/>
        </w:rPr>
        <w:t>,</w:t>
      </w:r>
      <w:r>
        <w:rPr>
          <w:rFonts w:cs="Arial"/>
        </w:rPr>
        <w:t xml:space="preserve"> </w:t>
      </w:r>
      <w:r w:rsidRPr="00C51142">
        <w:rPr>
          <w:rFonts w:cs="Arial"/>
        </w:rPr>
        <w:t>open and responsive budget system. Without</w:t>
      </w:r>
      <w:r>
        <w:rPr>
          <w:rFonts w:cs="Arial"/>
        </w:rPr>
        <w:t xml:space="preserve"> this</w:t>
      </w:r>
      <w:r w:rsidRPr="00C51142">
        <w:rPr>
          <w:rFonts w:cs="Arial"/>
        </w:rPr>
        <w:t xml:space="preserve"> transparency, </w:t>
      </w:r>
      <w:r>
        <w:rPr>
          <w:rFonts w:cs="Arial"/>
        </w:rPr>
        <w:t xml:space="preserve">it is not possible for </w:t>
      </w:r>
      <w:r w:rsidRPr="00C51142">
        <w:rPr>
          <w:rFonts w:cs="Arial"/>
        </w:rPr>
        <w:t xml:space="preserve">the public </w:t>
      </w:r>
      <w:r>
        <w:rPr>
          <w:rFonts w:cs="Arial"/>
        </w:rPr>
        <w:t xml:space="preserve">to </w:t>
      </w:r>
      <w:r w:rsidRPr="00C51142">
        <w:rPr>
          <w:rFonts w:cs="Arial"/>
        </w:rPr>
        <w:t xml:space="preserve">effectively influence budget decisions or monitor budget implementation. </w:t>
      </w:r>
      <w:r>
        <w:rPr>
          <w:rFonts w:cs="Arial"/>
        </w:rPr>
        <w:t>For</w:t>
      </w:r>
      <w:r w:rsidRPr="00C51142">
        <w:rPr>
          <w:rFonts w:cs="Arial"/>
        </w:rPr>
        <w:t xml:space="preserve"> formal oversight </w:t>
      </w:r>
      <w:r>
        <w:rPr>
          <w:rFonts w:cs="Arial"/>
        </w:rPr>
        <w:t>to take place that</w:t>
      </w:r>
      <w:r w:rsidRPr="00C51142">
        <w:rPr>
          <w:rFonts w:cs="Arial"/>
        </w:rPr>
        <w:t xml:space="preserve"> </w:t>
      </w:r>
      <w:r>
        <w:rPr>
          <w:rFonts w:cs="Arial"/>
        </w:rPr>
        <w:t xml:space="preserve">can </w:t>
      </w:r>
      <w:r w:rsidRPr="00C51142">
        <w:rPr>
          <w:rFonts w:cs="Arial"/>
        </w:rPr>
        <w:t xml:space="preserve">adequately hold </w:t>
      </w:r>
      <w:r>
        <w:rPr>
          <w:rFonts w:cs="Arial"/>
        </w:rPr>
        <w:t>government to account – transparency is critical</w:t>
      </w:r>
      <w:r w:rsidRPr="00C51142">
        <w:rPr>
          <w:rFonts w:cs="Arial"/>
        </w:rPr>
        <w:t xml:space="preserve">. </w:t>
      </w:r>
      <w:r>
        <w:rPr>
          <w:rFonts w:cs="Arial"/>
        </w:rPr>
        <w:t xml:space="preserve">Without it, the government </w:t>
      </w:r>
      <w:r w:rsidRPr="00C51142">
        <w:rPr>
          <w:rFonts w:cs="Arial"/>
        </w:rPr>
        <w:t xml:space="preserve">cannot maintain </w:t>
      </w:r>
      <w:r>
        <w:rPr>
          <w:rFonts w:cs="Arial"/>
        </w:rPr>
        <w:t>its</w:t>
      </w:r>
      <w:r w:rsidRPr="00C51142">
        <w:rPr>
          <w:rFonts w:cs="Arial"/>
        </w:rPr>
        <w:t xml:space="preserve"> credibility with the public and oversight actors.</w:t>
      </w:r>
    </w:p>
    <w:p w14:paraId="4B42741D" w14:textId="5E3DE56C" w:rsidR="00C57B2E" w:rsidRPr="00C51142" w:rsidRDefault="00C57B2E" w:rsidP="007F17DE">
      <w:pPr>
        <w:rPr>
          <w:rFonts w:cs="Arial"/>
        </w:rPr>
      </w:pPr>
      <w:r w:rsidRPr="00C51142">
        <w:rPr>
          <w:rFonts w:cs="Arial"/>
        </w:rPr>
        <w:t xml:space="preserve">The </w:t>
      </w:r>
      <w:r>
        <w:rPr>
          <w:rFonts w:cs="Arial"/>
        </w:rPr>
        <w:t xml:space="preserve">OBS </w:t>
      </w:r>
      <w:r w:rsidRPr="00C51142">
        <w:rPr>
          <w:rFonts w:cs="Arial"/>
        </w:rPr>
        <w:t xml:space="preserve">transparency scores are largely driven by </w:t>
      </w:r>
      <w:r>
        <w:rPr>
          <w:rFonts w:cs="Arial"/>
        </w:rPr>
        <w:t>three</w:t>
      </w:r>
      <w:r w:rsidRPr="00C51142">
        <w:rPr>
          <w:rFonts w:cs="Arial"/>
        </w:rPr>
        <w:t xml:space="preserve"> factors: what budget documents governments make available to the public</w:t>
      </w:r>
      <w:r>
        <w:rPr>
          <w:rFonts w:cs="Arial"/>
        </w:rPr>
        <w:t>, the timeliness of their publication in line with international best practice</w:t>
      </w:r>
      <w:r w:rsidRPr="00C51142">
        <w:rPr>
          <w:rFonts w:cs="Arial"/>
        </w:rPr>
        <w:t xml:space="preserve"> and what information is provided in those documents. Eight key documents</w:t>
      </w:r>
      <w:r>
        <w:rPr>
          <w:rFonts w:cs="Arial"/>
        </w:rPr>
        <w:t xml:space="preserve"> (</w:t>
      </w:r>
      <w:hyperlink w:anchor="_Appendix_2_–" w:history="1">
        <w:r w:rsidRPr="00115F4B">
          <w:rPr>
            <w:rStyle w:val="Hyperlink"/>
            <w:rFonts w:cs="Arial"/>
          </w:rPr>
          <w:t>see Appendix 2 for further details</w:t>
        </w:r>
      </w:hyperlink>
      <w:r>
        <w:rPr>
          <w:rFonts w:cs="Arial"/>
        </w:rPr>
        <w:t>)</w:t>
      </w:r>
      <w:r w:rsidRPr="00C51142">
        <w:rPr>
          <w:rFonts w:cs="Arial"/>
        </w:rPr>
        <w:t xml:space="preserve"> are internationally recogni</w:t>
      </w:r>
      <w:r>
        <w:rPr>
          <w:rFonts w:cs="Arial"/>
        </w:rPr>
        <w:t>s</w:t>
      </w:r>
      <w:r w:rsidRPr="00C51142">
        <w:rPr>
          <w:rFonts w:cs="Arial"/>
        </w:rPr>
        <w:t xml:space="preserve">ed as necessary to explain budget policies, decisions and outcomes across the budget cycle. </w:t>
      </w:r>
      <w:r>
        <w:rPr>
          <w:rFonts w:cs="Arial"/>
        </w:rPr>
        <w:t xml:space="preserve">Timely </w:t>
      </w:r>
      <w:r w:rsidRPr="00C51142">
        <w:rPr>
          <w:rFonts w:cs="Arial"/>
        </w:rPr>
        <w:t>online</w:t>
      </w:r>
      <w:r>
        <w:rPr>
          <w:rFonts w:cs="Arial"/>
        </w:rPr>
        <w:t xml:space="preserve"> publication of</w:t>
      </w:r>
      <w:r w:rsidRPr="00C51142">
        <w:rPr>
          <w:rFonts w:cs="Arial"/>
        </w:rPr>
        <w:t xml:space="preserve"> these documents is </w:t>
      </w:r>
      <w:r>
        <w:rPr>
          <w:rFonts w:cs="Arial"/>
        </w:rPr>
        <w:t>fundamental</w:t>
      </w:r>
      <w:r w:rsidRPr="00C51142">
        <w:rPr>
          <w:rFonts w:cs="Arial"/>
        </w:rPr>
        <w:t xml:space="preserve"> </w:t>
      </w:r>
      <w:r>
        <w:rPr>
          <w:rFonts w:cs="Arial"/>
        </w:rPr>
        <w:t>to enabling</w:t>
      </w:r>
      <w:r w:rsidRPr="00C51142">
        <w:rPr>
          <w:rFonts w:cs="Arial"/>
        </w:rPr>
        <w:t xml:space="preserve"> the public to </w:t>
      </w:r>
      <w:r>
        <w:rPr>
          <w:rFonts w:cs="Arial"/>
        </w:rPr>
        <w:t xml:space="preserve">access </w:t>
      </w:r>
      <w:r w:rsidRPr="00C51142">
        <w:rPr>
          <w:rFonts w:cs="Arial"/>
        </w:rPr>
        <w:t>meaningful information about budget decisions.</w:t>
      </w:r>
      <w:r w:rsidR="00454BC3">
        <w:rPr>
          <w:rFonts w:cs="Arial"/>
        </w:rPr>
        <w:t xml:space="preserve"> See Tables </w:t>
      </w:r>
      <w:r w:rsidR="00DB4D8C">
        <w:rPr>
          <w:rFonts w:cs="Arial"/>
        </w:rPr>
        <w:t xml:space="preserve">4, 5 </w:t>
      </w:r>
      <w:r w:rsidR="00454BC3">
        <w:rPr>
          <w:rFonts w:cs="Arial"/>
        </w:rPr>
        <w:t xml:space="preserve">and </w:t>
      </w:r>
      <w:r w:rsidR="00DB4D8C">
        <w:rPr>
          <w:rFonts w:cs="Arial"/>
        </w:rPr>
        <w:t>6</w:t>
      </w:r>
      <w:r w:rsidR="00454BC3">
        <w:rPr>
          <w:rFonts w:cs="Arial"/>
        </w:rPr>
        <w:t xml:space="preserve"> below for the status of Scotland’s 8 key documents.</w:t>
      </w:r>
    </w:p>
    <w:p w14:paraId="54017A3E" w14:textId="77777777" w:rsidR="005742D2" w:rsidRDefault="00C57B2E" w:rsidP="007F17DE">
      <w:r>
        <w:t xml:space="preserve">The Open Budget </w:t>
      </w:r>
      <w:r w:rsidR="00CA3D59">
        <w:t>Survey</w:t>
      </w:r>
      <w:r>
        <w:t xml:space="preserve"> assigns a Transparency score from 0 to 100 to each country involved in the survey. This is based on an average of the numerical values assigned to the responses of 109 equally weighted questions set to assess the online availability, timeliness, and comprehensiveness of eight key budget documents. </w:t>
      </w:r>
    </w:p>
    <w:p w14:paraId="4F6D5B65" w14:textId="3FD7C731" w:rsidR="00C57B2E" w:rsidRPr="00553DB9" w:rsidRDefault="00C57B2E" w:rsidP="00115F4B">
      <w:r w:rsidRPr="00553DB9">
        <w:t>A transparency score of 61 or above indicates a country is likely publishing enough material to support informed public debate on the budget.</w:t>
      </w:r>
    </w:p>
    <w:p w14:paraId="315809E2" w14:textId="77777777" w:rsidR="00C57B2E" w:rsidRPr="00A52C53" w:rsidRDefault="00C57B2E" w:rsidP="007F17DE">
      <w:r>
        <w:t xml:space="preserve">Scotland has a transparency score of </w:t>
      </w:r>
      <w:r>
        <w:rPr>
          <w:b/>
          <w:bCs/>
        </w:rPr>
        <w:t>60</w:t>
      </w:r>
      <w:r>
        <w:t xml:space="preserve"> (out of 100).</w:t>
      </w:r>
    </w:p>
    <w:p w14:paraId="197FF4ED" w14:textId="71DCAA46" w:rsidR="00C57B2E" w:rsidRDefault="00C57B2E" w:rsidP="007F17DE">
      <w:r>
        <w:t xml:space="preserve">This means that this places the 2021/2022 Scottish Budget in the </w:t>
      </w:r>
      <w:r w:rsidRPr="00883B80">
        <w:rPr>
          <w:b/>
          <w:bCs/>
        </w:rPr>
        <w:t>limited information</w:t>
      </w:r>
      <w:r>
        <w:t xml:space="preserve"> available (41-60</w:t>
      </w:r>
      <w:r w:rsidR="00115F4B">
        <w:t xml:space="preserve"> out of </w:t>
      </w:r>
      <w:r>
        <w:t>100) category.</w:t>
      </w:r>
    </w:p>
    <w:p w14:paraId="29F37E72" w14:textId="43BEEB48" w:rsidR="00BC734E" w:rsidRDefault="007B1EA7" w:rsidP="007F17DE">
      <w:bookmarkStart w:id="24" w:name="_Hlk165913331"/>
      <w:r>
        <w:lastRenderedPageBreak/>
        <w:t xml:space="preserve">As can be seen in </w:t>
      </w:r>
      <w:r w:rsidR="007B6560">
        <w:t>Table 7</w:t>
      </w:r>
      <w:r>
        <w:t>, w</w:t>
      </w:r>
      <w:r w:rsidR="00BC734E">
        <w:t xml:space="preserve">hilst making proportionately more progress than many other countries and now sitting above the global average, Scotland remains below the OECD (participating countries) average for transparency. </w:t>
      </w:r>
    </w:p>
    <w:p w14:paraId="794F04F8" w14:textId="6B67C6AD" w:rsidR="00530CA6" w:rsidRPr="00734260" w:rsidRDefault="00782D50" w:rsidP="007F17DE">
      <w:bookmarkStart w:id="25" w:name="_Toc167112877"/>
      <w:bookmarkEnd w:id="24"/>
      <w:r w:rsidRPr="00734260">
        <w:t xml:space="preserve">Table </w:t>
      </w:r>
      <w:r w:rsidR="00BF4A48">
        <w:t>4</w:t>
      </w:r>
      <w:r w:rsidRPr="00734260">
        <w:t xml:space="preserve"> - </w:t>
      </w:r>
      <w:r w:rsidR="00530CA6" w:rsidRPr="00734260">
        <w:t>Public availability of budget documents in Scotland</w:t>
      </w:r>
      <w:bookmarkEnd w:id="25"/>
    </w:p>
    <w:tbl>
      <w:tblPr>
        <w:tblStyle w:val="TableGrid"/>
        <w:tblW w:w="10065" w:type="dxa"/>
        <w:tblInd w:w="-289" w:type="dxa"/>
        <w:tblLook w:val="04A0" w:firstRow="1" w:lastRow="0" w:firstColumn="1" w:lastColumn="0" w:noHBand="0" w:noVBand="1"/>
        <w:tblCaption w:val="Table 4 - Public availability of budget documents in Scotland"/>
      </w:tblPr>
      <w:tblGrid>
        <w:gridCol w:w="3403"/>
        <w:gridCol w:w="3118"/>
        <w:gridCol w:w="3544"/>
      </w:tblGrid>
      <w:tr w:rsidR="00F13F01" w14:paraId="100962B3" w14:textId="77777777" w:rsidTr="00602009">
        <w:trPr>
          <w:cantSplit/>
          <w:trHeight w:val="407"/>
          <w:tblHeader/>
        </w:trPr>
        <w:tc>
          <w:tcPr>
            <w:tcW w:w="3403" w:type="dxa"/>
            <w:shd w:val="clear" w:color="auto" w:fill="8BADDC"/>
          </w:tcPr>
          <w:p w14:paraId="4BBB6CEC" w14:textId="467F6186" w:rsidR="00F13F01" w:rsidRPr="000361A8" w:rsidRDefault="00F13F01" w:rsidP="007F17DE">
            <w:pPr>
              <w:rPr>
                <w:b/>
                <w:bCs/>
              </w:rPr>
            </w:pPr>
            <w:r w:rsidRPr="000361A8">
              <w:rPr>
                <w:b/>
                <w:bCs/>
              </w:rPr>
              <w:t>Document</w:t>
            </w:r>
          </w:p>
        </w:tc>
        <w:tc>
          <w:tcPr>
            <w:tcW w:w="3118" w:type="dxa"/>
            <w:shd w:val="clear" w:color="auto" w:fill="8BADDC"/>
          </w:tcPr>
          <w:p w14:paraId="704E7E5C" w14:textId="77777777" w:rsidR="00F13F01" w:rsidRPr="000361A8" w:rsidRDefault="00F13F01" w:rsidP="007F17DE">
            <w:pPr>
              <w:jc w:val="center"/>
              <w:rPr>
                <w:b/>
                <w:bCs/>
              </w:rPr>
            </w:pPr>
            <w:r w:rsidRPr="000361A8">
              <w:rPr>
                <w:b/>
                <w:bCs/>
              </w:rPr>
              <w:t>2019</w:t>
            </w:r>
          </w:p>
        </w:tc>
        <w:tc>
          <w:tcPr>
            <w:tcW w:w="3544" w:type="dxa"/>
            <w:shd w:val="clear" w:color="auto" w:fill="8BADDC"/>
          </w:tcPr>
          <w:p w14:paraId="0E528D74" w14:textId="77777777" w:rsidR="00F13F01" w:rsidRPr="000361A8" w:rsidRDefault="00F13F01" w:rsidP="007F17DE">
            <w:pPr>
              <w:jc w:val="center"/>
              <w:rPr>
                <w:b/>
                <w:bCs/>
              </w:rPr>
            </w:pPr>
            <w:r w:rsidRPr="000361A8">
              <w:rPr>
                <w:b/>
                <w:bCs/>
              </w:rPr>
              <w:t>2023</w:t>
            </w:r>
          </w:p>
        </w:tc>
      </w:tr>
      <w:tr w:rsidR="00F13F01" w14:paraId="59B08694" w14:textId="77777777" w:rsidTr="00602009">
        <w:tc>
          <w:tcPr>
            <w:tcW w:w="3403" w:type="dxa"/>
          </w:tcPr>
          <w:p w14:paraId="531C3269" w14:textId="77777777" w:rsidR="00F13F01" w:rsidRDefault="00F13F01" w:rsidP="007F17DE">
            <w:r>
              <w:t>Pre-Budget Statement</w:t>
            </w:r>
          </w:p>
        </w:tc>
        <w:tc>
          <w:tcPr>
            <w:tcW w:w="3118" w:type="dxa"/>
            <w:shd w:val="clear" w:color="auto" w:fill="auto"/>
          </w:tcPr>
          <w:p w14:paraId="7BC6C79F" w14:textId="7C7C18EC" w:rsidR="00F13F01" w:rsidRDefault="00602009" w:rsidP="00602009">
            <w:r w:rsidRPr="00530CA6">
              <w:rPr>
                <w:rFonts w:cs="Arial"/>
              </w:rPr>
              <w:t>Not Produced</w:t>
            </w:r>
            <w:r>
              <w:rPr>
                <w:rFonts w:cs="Arial"/>
              </w:rPr>
              <w:t>/ not available to the public</w:t>
            </w:r>
          </w:p>
        </w:tc>
        <w:tc>
          <w:tcPr>
            <w:tcW w:w="3544" w:type="dxa"/>
            <w:shd w:val="clear" w:color="auto" w:fill="auto"/>
          </w:tcPr>
          <w:p w14:paraId="13E52B08" w14:textId="62AE5C40" w:rsidR="00F13F01" w:rsidRDefault="00602009" w:rsidP="00602009">
            <w:r w:rsidRPr="00530CA6">
              <w:rPr>
                <w:rFonts w:cs="Arial"/>
              </w:rPr>
              <w:t>Not Produced</w:t>
            </w:r>
            <w:r>
              <w:rPr>
                <w:rFonts w:cs="Arial"/>
              </w:rPr>
              <w:t>/ not available to the public</w:t>
            </w:r>
          </w:p>
        </w:tc>
      </w:tr>
      <w:tr w:rsidR="00F13F01" w14:paraId="5669179C" w14:textId="77777777" w:rsidTr="00602009">
        <w:tc>
          <w:tcPr>
            <w:tcW w:w="3403" w:type="dxa"/>
          </w:tcPr>
          <w:p w14:paraId="6427D034" w14:textId="77777777" w:rsidR="00F13F01" w:rsidRDefault="00F13F01" w:rsidP="007F17DE">
            <w:r>
              <w:t>Executive’s Budget Proposal</w:t>
            </w:r>
          </w:p>
        </w:tc>
        <w:tc>
          <w:tcPr>
            <w:tcW w:w="3118" w:type="dxa"/>
            <w:shd w:val="clear" w:color="auto" w:fill="auto"/>
          </w:tcPr>
          <w:p w14:paraId="666B3F11" w14:textId="2F38319B" w:rsidR="00F13F01" w:rsidRDefault="00602009" w:rsidP="00602009">
            <w:r w:rsidRPr="00530CA6">
              <w:rPr>
                <w:rFonts w:cs="Arial"/>
              </w:rPr>
              <w:t>Available to the public</w:t>
            </w:r>
          </w:p>
        </w:tc>
        <w:tc>
          <w:tcPr>
            <w:tcW w:w="3544" w:type="dxa"/>
            <w:shd w:val="clear" w:color="auto" w:fill="auto"/>
          </w:tcPr>
          <w:p w14:paraId="3B5F69C2" w14:textId="676AED99" w:rsidR="00F13F01" w:rsidRDefault="00602009" w:rsidP="00602009">
            <w:r w:rsidRPr="00530CA6">
              <w:rPr>
                <w:rFonts w:cs="Arial"/>
              </w:rPr>
              <w:t>Available to the public</w:t>
            </w:r>
          </w:p>
        </w:tc>
      </w:tr>
      <w:tr w:rsidR="00F13F01" w14:paraId="0979B3D3" w14:textId="77777777" w:rsidTr="00602009">
        <w:tc>
          <w:tcPr>
            <w:tcW w:w="3403" w:type="dxa"/>
          </w:tcPr>
          <w:p w14:paraId="18BB973D" w14:textId="77777777" w:rsidR="00F13F01" w:rsidRDefault="00F13F01" w:rsidP="007F17DE">
            <w:r>
              <w:t>Enacted Budget</w:t>
            </w:r>
          </w:p>
        </w:tc>
        <w:tc>
          <w:tcPr>
            <w:tcW w:w="3118" w:type="dxa"/>
            <w:shd w:val="clear" w:color="auto" w:fill="auto"/>
          </w:tcPr>
          <w:p w14:paraId="6FA5B149" w14:textId="40B55CD3" w:rsidR="00F13F01" w:rsidRDefault="00602009" w:rsidP="00602009">
            <w:r w:rsidRPr="00530CA6">
              <w:rPr>
                <w:rFonts w:cs="Arial"/>
              </w:rPr>
              <w:t>Available to the public</w:t>
            </w:r>
          </w:p>
        </w:tc>
        <w:tc>
          <w:tcPr>
            <w:tcW w:w="3544" w:type="dxa"/>
            <w:shd w:val="clear" w:color="auto" w:fill="auto"/>
          </w:tcPr>
          <w:p w14:paraId="428F2B37" w14:textId="6B826647" w:rsidR="00F13F01" w:rsidRDefault="00602009" w:rsidP="00602009">
            <w:r w:rsidRPr="00530CA6">
              <w:rPr>
                <w:rFonts w:cs="Arial"/>
              </w:rPr>
              <w:t>Available to the public</w:t>
            </w:r>
          </w:p>
        </w:tc>
      </w:tr>
      <w:tr w:rsidR="00F13F01" w14:paraId="3F5F6762" w14:textId="77777777" w:rsidTr="00602009">
        <w:tc>
          <w:tcPr>
            <w:tcW w:w="3403" w:type="dxa"/>
          </w:tcPr>
          <w:p w14:paraId="1CF46D23" w14:textId="77777777" w:rsidR="00F13F01" w:rsidRDefault="00F13F01" w:rsidP="007F17DE">
            <w:r>
              <w:t>Citizens Budget</w:t>
            </w:r>
          </w:p>
        </w:tc>
        <w:tc>
          <w:tcPr>
            <w:tcW w:w="3118" w:type="dxa"/>
            <w:shd w:val="clear" w:color="auto" w:fill="auto"/>
          </w:tcPr>
          <w:p w14:paraId="680B9621" w14:textId="1F4290CA" w:rsidR="00F13F01" w:rsidRDefault="00602009" w:rsidP="00602009">
            <w:r w:rsidRPr="00530CA6">
              <w:rPr>
                <w:rFonts w:cs="Arial"/>
              </w:rPr>
              <w:t>Not Produced</w:t>
            </w:r>
            <w:r>
              <w:rPr>
                <w:rFonts w:cs="Arial"/>
              </w:rPr>
              <w:t>/ not available to the public</w:t>
            </w:r>
          </w:p>
        </w:tc>
        <w:tc>
          <w:tcPr>
            <w:tcW w:w="3544" w:type="dxa"/>
            <w:shd w:val="clear" w:color="auto" w:fill="auto"/>
          </w:tcPr>
          <w:p w14:paraId="1F8B5598" w14:textId="3DCAF409" w:rsidR="00F13F01" w:rsidRDefault="00602009" w:rsidP="00602009">
            <w:r w:rsidRPr="00530CA6">
              <w:rPr>
                <w:rFonts w:cs="Arial"/>
              </w:rPr>
              <w:t>Available to the public</w:t>
            </w:r>
          </w:p>
        </w:tc>
      </w:tr>
      <w:tr w:rsidR="00F13F01" w14:paraId="44560695" w14:textId="77777777" w:rsidTr="00602009">
        <w:trPr>
          <w:trHeight w:val="679"/>
        </w:trPr>
        <w:tc>
          <w:tcPr>
            <w:tcW w:w="3403" w:type="dxa"/>
          </w:tcPr>
          <w:p w14:paraId="4A0DF929" w14:textId="77777777" w:rsidR="00F13F01" w:rsidRDefault="00F13F01" w:rsidP="007F17DE">
            <w:r>
              <w:t>In-Year Reports</w:t>
            </w:r>
          </w:p>
        </w:tc>
        <w:tc>
          <w:tcPr>
            <w:tcW w:w="3118" w:type="dxa"/>
            <w:shd w:val="clear" w:color="auto" w:fill="auto"/>
          </w:tcPr>
          <w:p w14:paraId="151C7C94" w14:textId="7DE466C9" w:rsidR="00F13F01" w:rsidRDefault="00602009" w:rsidP="00602009">
            <w:r w:rsidRPr="00530CA6">
              <w:rPr>
                <w:rFonts w:cs="Arial"/>
              </w:rPr>
              <w:t>Not Produced</w:t>
            </w:r>
            <w:r>
              <w:rPr>
                <w:rFonts w:cs="Arial"/>
              </w:rPr>
              <w:t>/ not available to the public</w:t>
            </w:r>
          </w:p>
        </w:tc>
        <w:tc>
          <w:tcPr>
            <w:tcW w:w="3544" w:type="dxa"/>
            <w:shd w:val="clear" w:color="auto" w:fill="auto"/>
          </w:tcPr>
          <w:p w14:paraId="00E3F5B6" w14:textId="6EB73B03" w:rsidR="00F13F01" w:rsidRDefault="00602009" w:rsidP="00602009">
            <w:r w:rsidRPr="00530CA6">
              <w:rPr>
                <w:rFonts w:cs="Arial"/>
              </w:rPr>
              <w:t>Not Produced</w:t>
            </w:r>
            <w:r>
              <w:rPr>
                <w:rFonts w:cs="Arial"/>
              </w:rPr>
              <w:t>/ not available to the public</w:t>
            </w:r>
          </w:p>
        </w:tc>
      </w:tr>
      <w:tr w:rsidR="00F13F01" w14:paraId="6DF4F11A" w14:textId="77777777" w:rsidTr="00602009">
        <w:tc>
          <w:tcPr>
            <w:tcW w:w="3403" w:type="dxa"/>
          </w:tcPr>
          <w:p w14:paraId="33475633" w14:textId="77777777" w:rsidR="00F13F01" w:rsidRDefault="00F13F01" w:rsidP="007F17DE">
            <w:r>
              <w:t>Mid-Year Review</w:t>
            </w:r>
          </w:p>
        </w:tc>
        <w:tc>
          <w:tcPr>
            <w:tcW w:w="3118" w:type="dxa"/>
            <w:shd w:val="clear" w:color="auto" w:fill="auto"/>
          </w:tcPr>
          <w:p w14:paraId="52C2C030" w14:textId="23267ADC" w:rsidR="00F13F01" w:rsidRDefault="00602009" w:rsidP="00602009">
            <w:r w:rsidRPr="00530CA6">
              <w:rPr>
                <w:rFonts w:cs="Arial"/>
              </w:rPr>
              <w:t>Not Produced</w:t>
            </w:r>
            <w:r>
              <w:rPr>
                <w:rFonts w:cs="Arial"/>
              </w:rPr>
              <w:t>/ not available to the public</w:t>
            </w:r>
          </w:p>
        </w:tc>
        <w:tc>
          <w:tcPr>
            <w:tcW w:w="3544" w:type="dxa"/>
            <w:shd w:val="clear" w:color="auto" w:fill="auto"/>
          </w:tcPr>
          <w:p w14:paraId="1453CD3A" w14:textId="33C09833" w:rsidR="00F13F01" w:rsidRDefault="00602009" w:rsidP="00602009">
            <w:r w:rsidRPr="00530CA6">
              <w:rPr>
                <w:rFonts w:cs="Arial"/>
              </w:rPr>
              <w:t>Available to the public</w:t>
            </w:r>
          </w:p>
        </w:tc>
      </w:tr>
      <w:tr w:rsidR="00F13F01" w14:paraId="32227F32" w14:textId="77777777" w:rsidTr="00602009">
        <w:tc>
          <w:tcPr>
            <w:tcW w:w="3403" w:type="dxa"/>
          </w:tcPr>
          <w:p w14:paraId="68D253C6" w14:textId="77777777" w:rsidR="00F13F01" w:rsidRDefault="00F13F01" w:rsidP="007F17DE">
            <w:r>
              <w:t>Year-End Report</w:t>
            </w:r>
          </w:p>
        </w:tc>
        <w:tc>
          <w:tcPr>
            <w:tcW w:w="3118" w:type="dxa"/>
            <w:shd w:val="clear" w:color="auto" w:fill="auto"/>
          </w:tcPr>
          <w:p w14:paraId="67E4D155" w14:textId="32BC3358" w:rsidR="00F13F01" w:rsidRDefault="00602009" w:rsidP="00602009">
            <w:r w:rsidRPr="00530CA6">
              <w:rPr>
                <w:rFonts w:cs="Arial"/>
              </w:rPr>
              <w:t>Available to the public</w:t>
            </w:r>
          </w:p>
        </w:tc>
        <w:tc>
          <w:tcPr>
            <w:tcW w:w="3544" w:type="dxa"/>
            <w:shd w:val="clear" w:color="auto" w:fill="auto"/>
          </w:tcPr>
          <w:p w14:paraId="503F9420" w14:textId="2442B3CE" w:rsidR="00F13F01" w:rsidRDefault="00602009" w:rsidP="00602009">
            <w:r w:rsidRPr="00530CA6">
              <w:rPr>
                <w:rFonts w:cs="Arial"/>
              </w:rPr>
              <w:t>Available to the public</w:t>
            </w:r>
          </w:p>
        </w:tc>
      </w:tr>
      <w:tr w:rsidR="00F13F01" w14:paraId="7B7222BA" w14:textId="77777777" w:rsidTr="00602009">
        <w:tc>
          <w:tcPr>
            <w:tcW w:w="3403" w:type="dxa"/>
          </w:tcPr>
          <w:p w14:paraId="70766665" w14:textId="77777777" w:rsidR="00F13F01" w:rsidRDefault="00F13F01" w:rsidP="007F17DE">
            <w:r>
              <w:t>Audit Report</w:t>
            </w:r>
          </w:p>
        </w:tc>
        <w:tc>
          <w:tcPr>
            <w:tcW w:w="3118" w:type="dxa"/>
            <w:shd w:val="clear" w:color="auto" w:fill="auto"/>
          </w:tcPr>
          <w:p w14:paraId="09432A9A" w14:textId="3957331C" w:rsidR="00F13F01" w:rsidRDefault="00602009" w:rsidP="00602009">
            <w:r w:rsidRPr="00530CA6">
              <w:rPr>
                <w:rFonts w:cs="Arial"/>
              </w:rPr>
              <w:t>Available to the public</w:t>
            </w:r>
          </w:p>
        </w:tc>
        <w:tc>
          <w:tcPr>
            <w:tcW w:w="3544" w:type="dxa"/>
            <w:shd w:val="clear" w:color="auto" w:fill="auto"/>
          </w:tcPr>
          <w:p w14:paraId="70C61DCD" w14:textId="68D48667" w:rsidR="00F13F01" w:rsidRDefault="00602009" w:rsidP="00602009">
            <w:r w:rsidRPr="00530CA6">
              <w:rPr>
                <w:rFonts w:cs="Arial"/>
              </w:rPr>
              <w:t>Available to the public</w:t>
            </w:r>
          </w:p>
        </w:tc>
      </w:tr>
    </w:tbl>
    <w:p w14:paraId="64AB3114" w14:textId="77777777" w:rsidR="00F13F01" w:rsidRDefault="00F13F01" w:rsidP="007F17DE">
      <w:pPr>
        <w:rPr>
          <w:b/>
          <w:noProof/>
          <w:kern w:val="24"/>
          <w:sz w:val="32"/>
          <w:szCs w:val="32"/>
        </w:rPr>
      </w:pPr>
      <w:r>
        <w:br w:type="page"/>
      </w:r>
    </w:p>
    <w:p w14:paraId="1E84EEBC" w14:textId="30AE91B7" w:rsidR="000F0EE2" w:rsidRDefault="000F0EE2">
      <w:pPr>
        <w:spacing w:before="0" w:after="0" w:line="360" w:lineRule="auto"/>
      </w:pPr>
      <w:bookmarkStart w:id="26" w:name="_Toc167112878"/>
      <w:r>
        <w:lastRenderedPageBreak/>
        <w:t xml:space="preserve">Table </w:t>
      </w:r>
      <w:r w:rsidR="00DB4D8C">
        <w:t>5</w:t>
      </w:r>
      <w:r>
        <w:t xml:space="preserve"> - Comprehensiveness and Timeliness of Scottish Documents</w:t>
      </w:r>
    </w:p>
    <w:tbl>
      <w:tblPr>
        <w:tblStyle w:val="TableGrid"/>
        <w:tblW w:w="9918" w:type="dxa"/>
        <w:tblLook w:val="04A0" w:firstRow="1" w:lastRow="0" w:firstColumn="1" w:lastColumn="0" w:noHBand="0" w:noVBand="1"/>
        <w:tblCaption w:val="Scotland's OBS Score per document out of 100 for 2023 and 2019"/>
      </w:tblPr>
      <w:tblGrid>
        <w:gridCol w:w="3823"/>
        <w:gridCol w:w="3543"/>
        <w:gridCol w:w="2552"/>
      </w:tblGrid>
      <w:tr w:rsidR="000F0EE2" w14:paraId="6B106F87" w14:textId="77777777" w:rsidTr="005A5C83">
        <w:trPr>
          <w:cantSplit/>
          <w:tblHeader/>
        </w:trPr>
        <w:tc>
          <w:tcPr>
            <w:tcW w:w="3823" w:type="dxa"/>
            <w:shd w:val="clear" w:color="auto" w:fill="8BADDC"/>
          </w:tcPr>
          <w:tbl>
            <w:tblPr>
              <w:tblW w:w="2910" w:type="dxa"/>
              <w:tblLook w:val="04A0" w:firstRow="1" w:lastRow="0" w:firstColumn="1" w:lastColumn="0" w:noHBand="0" w:noVBand="1"/>
            </w:tblPr>
            <w:tblGrid>
              <w:gridCol w:w="2910"/>
            </w:tblGrid>
            <w:tr w:rsidR="009F088D" w:rsidRPr="000F0EE2" w14:paraId="1A91E219" w14:textId="77777777" w:rsidTr="009F088D">
              <w:trPr>
                <w:trHeight w:val="365"/>
              </w:trPr>
              <w:tc>
                <w:tcPr>
                  <w:tcW w:w="2910" w:type="dxa"/>
                  <w:tcBorders>
                    <w:top w:val="nil"/>
                    <w:left w:val="nil"/>
                    <w:bottom w:val="nil"/>
                    <w:right w:val="nil"/>
                  </w:tcBorders>
                  <w:shd w:val="clear" w:color="auto" w:fill="auto"/>
                  <w:noWrap/>
                  <w:vAlign w:val="bottom"/>
                  <w:hideMark/>
                </w:tcPr>
                <w:p w14:paraId="105AB1E3" w14:textId="77777777" w:rsidR="009F088D" w:rsidRPr="000F0EE2" w:rsidRDefault="009F088D" w:rsidP="000F0EE2">
                  <w:pPr>
                    <w:spacing w:before="0" w:after="0" w:line="240" w:lineRule="auto"/>
                    <w:rPr>
                      <w:rFonts w:eastAsia="Times New Roman" w:cs="Arial"/>
                      <w:b/>
                      <w:bCs/>
                      <w:color w:val="000000"/>
                      <w:lang w:eastAsia="en-GB"/>
                    </w:rPr>
                  </w:pPr>
                  <w:r w:rsidRPr="000F0EE2">
                    <w:rPr>
                      <w:rFonts w:eastAsia="Times New Roman" w:cs="Arial"/>
                      <w:b/>
                      <w:bCs/>
                      <w:color w:val="000000"/>
                      <w:lang w:eastAsia="en-GB"/>
                    </w:rPr>
                    <w:t>Name of document</w:t>
                  </w:r>
                </w:p>
              </w:tc>
            </w:tr>
          </w:tbl>
          <w:p w14:paraId="1CAF4C8A" w14:textId="77777777" w:rsidR="000F0EE2" w:rsidRPr="005A5C83" w:rsidRDefault="000F0EE2">
            <w:pPr>
              <w:spacing w:before="0" w:after="0" w:line="360" w:lineRule="auto"/>
              <w:rPr>
                <w:rFonts w:cs="Arial"/>
                <w:b/>
                <w:bCs/>
              </w:rPr>
            </w:pPr>
          </w:p>
        </w:tc>
        <w:tc>
          <w:tcPr>
            <w:tcW w:w="3543" w:type="dxa"/>
            <w:shd w:val="clear" w:color="auto" w:fill="8BADDC"/>
          </w:tcPr>
          <w:p w14:paraId="0C181C55" w14:textId="117F229A" w:rsidR="000F0EE2" w:rsidRPr="005A5C83" w:rsidRDefault="000F0EE2">
            <w:pPr>
              <w:spacing w:before="0" w:after="0" w:line="360" w:lineRule="auto"/>
              <w:rPr>
                <w:rFonts w:cs="Arial"/>
                <w:b/>
                <w:bCs/>
              </w:rPr>
            </w:pPr>
            <w:r w:rsidRPr="000F0EE2">
              <w:rPr>
                <w:rFonts w:eastAsia="Times New Roman" w:cs="Arial"/>
                <w:b/>
                <w:bCs/>
                <w:color w:val="000000"/>
                <w:lang w:eastAsia="en-GB"/>
              </w:rPr>
              <w:t>Score in 2019</w:t>
            </w:r>
          </w:p>
        </w:tc>
        <w:tc>
          <w:tcPr>
            <w:tcW w:w="2552" w:type="dxa"/>
            <w:shd w:val="clear" w:color="auto" w:fill="8BADDC"/>
          </w:tcPr>
          <w:p w14:paraId="1403A653" w14:textId="311F86C4" w:rsidR="000F0EE2" w:rsidRPr="005A5C83" w:rsidRDefault="000F0EE2">
            <w:pPr>
              <w:spacing w:before="0" w:after="0" w:line="360" w:lineRule="auto"/>
              <w:rPr>
                <w:rFonts w:cs="Arial"/>
                <w:b/>
                <w:bCs/>
              </w:rPr>
            </w:pPr>
            <w:r w:rsidRPr="000F0EE2">
              <w:rPr>
                <w:rFonts w:eastAsia="Times New Roman" w:cs="Arial"/>
                <w:b/>
                <w:bCs/>
                <w:color w:val="000000"/>
                <w:lang w:eastAsia="en-GB"/>
              </w:rPr>
              <w:t>Score in 2023</w:t>
            </w:r>
          </w:p>
        </w:tc>
      </w:tr>
      <w:tr w:rsidR="000F0EE2" w14:paraId="6610FF75" w14:textId="77777777" w:rsidTr="005A5C83">
        <w:trPr>
          <w:trHeight w:val="588"/>
        </w:trPr>
        <w:tc>
          <w:tcPr>
            <w:tcW w:w="3823" w:type="dxa"/>
          </w:tcPr>
          <w:tbl>
            <w:tblPr>
              <w:tblW w:w="3120" w:type="dxa"/>
              <w:tblLook w:val="04A0" w:firstRow="1" w:lastRow="0" w:firstColumn="1" w:lastColumn="0" w:noHBand="0" w:noVBand="1"/>
            </w:tblPr>
            <w:tblGrid>
              <w:gridCol w:w="3120"/>
            </w:tblGrid>
            <w:tr w:rsidR="000F0EE2" w:rsidRPr="000F0EE2" w14:paraId="50129A5F" w14:textId="77777777" w:rsidTr="000F0EE2">
              <w:trPr>
                <w:trHeight w:val="290"/>
              </w:trPr>
              <w:tc>
                <w:tcPr>
                  <w:tcW w:w="3120" w:type="dxa"/>
                  <w:tcBorders>
                    <w:top w:val="nil"/>
                    <w:left w:val="nil"/>
                    <w:bottom w:val="nil"/>
                    <w:right w:val="nil"/>
                  </w:tcBorders>
                  <w:shd w:val="clear" w:color="auto" w:fill="auto"/>
                  <w:noWrap/>
                  <w:vAlign w:val="bottom"/>
                  <w:hideMark/>
                </w:tcPr>
                <w:p w14:paraId="49C13C16" w14:textId="5EA083EA" w:rsidR="000F0EE2" w:rsidRPr="000F0EE2" w:rsidRDefault="005A5C83" w:rsidP="000F0EE2">
                  <w:pPr>
                    <w:spacing w:before="0" w:after="0" w:line="240" w:lineRule="auto"/>
                    <w:rPr>
                      <w:rFonts w:eastAsia="Times New Roman" w:cs="Arial"/>
                      <w:color w:val="000000"/>
                      <w:lang w:eastAsia="en-GB"/>
                    </w:rPr>
                  </w:pPr>
                  <w:r>
                    <w:rPr>
                      <w:rFonts w:eastAsia="Times New Roman" w:cs="Arial"/>
                      <w:color w:val="000000"/>
                      <w:lang w:eastAsia="en-GB"/>
                    </w:rPr>
                    <w:t>P</w:t>
                  </w:r>
                  <w:r w:rsidR="000F0EE2" w:rsidRPr="000F0EE2">
                    <w:rPr>
                      <w:rFonts w:eastAsia="Times New Roman" w:cs="Arial"/>
                      <w:color w:val="000000"/>
                      <w:lang w:eastAsia="en-GB"/>
                    </w:rPr>
                    <w:t>re-Budget Statement</w:t>
                  </w:r>
                </w:p>
              </w:tc>
            </w:tr>
          </w:tbl>
          <w:p w14:paraId="709382C7" w14:textId="77777777" w:rsidR="000F0EE2" w:rsidRPr="000F0EE2" w:rsidRDefault="000F0EE2">
            <w:pPr>
              <w:spacing w:before="0" w:after="0" w:line="360" w:lineRule="auto"/>
              <w:rPr>
                <w:rFonts w:cs="Arial"/>
              </w:rPr>
            </w:pPr>
          </w:p>
        </w:tc>
        <w:tc>
          <w:tcPr>
            <w:tcW w:w="3543" w:type="dxa"/>
          </w:tcPr>
          <w:p w14:paraId="660D0C7E" w14:textId="74B90AE5" w:rsidR="000F0EE2" w:rsidRPr="000F0EE2" w:rsidRDefault="000F0EE2">
            <w:pPr>
              <w:spacing w:before="0" w:after="0" w:line="360" w:lineRule="auto"/>
              <w:rPr>
                <w:rFonts w:cs="Arial"/>
              </w:rPr>
            </w:pPr>
            <w:r w:rsidRPr="000F0EE2">
              <w:rPr>
                <w:rFonts w:cs="Arial"/>
              </w:rPr>
              <w:t>0</w:t>
            </w:r>
          </w:p>
        </w:tc>
        <w:tc>
          <w:tcPr>
            <w:tcW w:w="2552" w:type="dxa"/>
          </w:tcPr>
          <w:p w14:paraId="1DA535E3" w14:textId="79E3F1F8" w:rsidR="000F0EE2" w:rsidRPr="000F0EE2" w:rsidRDefault="000F0EE2">
            <w:pPr>
              <w:spacing w:before="0" w:after="0" w:line="360" w:lineRule="auto"/>
              <w:rPr>
                <w:rFonts w:cs="Arial"/>
              </w:rPr>
            </w:pPr>
            <w:r w:rsidRPr="000F0EE2">
              <w:rPr>
                <w:rFonts w:cs="Arial"/>
              </w:rPr>
              <w:t>0</w:t>
            </w:r>
          </w:p>
        </w:tc>
      </w:tr>
      <w:tr w:rsidR="000F0EE2" w14:paraId="37A1B3A1" w14:textId="77777777" w:rsidTr="000F0EE2">
        <w:tc>
          <w:tcPr>
            <w:tcW w:w="3823" w:type="dxa"/>
          </w:tcPr>
          <w:p w14:paraId="43994AE3" w14:textId="77777777" w:rsidR="000F0EE2" w:rsidRPr="000F0EE2" w:rsidRDefault="000F0EE2" w:rsidP="000F0EE2">
            <w:pPr>
              <w:spacing w:before="0" w:after="0" w:line="240" w:lineRule="auto"/>
              <w:rPr>
                <w:rFonts w:eastAsia="Times New Roman" w:cs="Arial"/>
                <w:color w:val="000000"/>
                <w:lang w:eastAsia="en-GB"/>
              </w:rPr>
            </w:pPr>
            <w:r w:rsidRPr="000F0EE2">
              <w:rPr>
                <w:rFonts w:eastAsia="Times New Roman" w:cs="Arial"/>
                <w:color w:val="000000"/>
                <w:lang w:eastAsia="en-GB"/>
              </w:rPr>
              <w:t>Executive Budget Proposal</w:t>
            </w:r>
          </w:p>
          <w:p w14:paraId="35251BF9" w14:textId="77777777" w:rsidR="000F0EE2" w:rsidRPr="000F0EE2" w:rsidRDefault="000F0EE2">
            <w:pPr>
              <w:spacing w:before="0" w:after="0" w:line="360" w:lineRule="auto"/>
              <w:rPr>
                <w:rFonts w:cs="Arial"/>
              </w:rPr>
            </w:pPr>
          </w:p>
        </w:tc>
        <w:tc>
          <w:tcPr>
            <w:tcW w:w="3543" w:type="dxa"/>
          </w:tcPr>
          <w:p w14:paraId="6BAEEB95" w14:textId="62168447" w:rsidR="000F0EE2" w:rsidRPr="000F0EE2" w:rsidRDefault="000F0EE2">
            <w:pPr>
              <w:spacing w:before="0" w:after="0" w:line="360" w:lineRule="auto"/>
              <w:rPr>
                <w:rFonts w:cs="Arial"/>
              </w:rPr>
            </w:pPr>
            <w:r w:rsidRPr="000F0EE2">
              <w:rPr>
                <w:rFonts w:cs="Arial"/>
              </w:rPr>
              <w:t>53</w:t>
            </w:r>
          </w:p>
        </w:tc>
        <w:tc>
          <w:tcPr>
            <w:tcW w:w="2552" w:type="dxa"/>
          </w:tcPr>
          <w:p w14:paraId="3090A1F3" w14:textId="10FDC744" w:rsidR="000F0EE2" w:rsidRPr="000F0EE2" w:rsidRDefault="000F0EE2">
            <w:pPr>
              <w:spacing w:before="0" w:after="0" w:line="360" w:lineRule="auto"/>
              <w:rPr>
                <w:rFonts w:cs="Arial"/>
              </w:rPr>
            </w:pPr>
            <w:r w:rsidRPr="000F0EE2">
              <w:rPr>
                <w:rFonts w:cs="Arial"/>
              </w:rPr>
              <w:t>67</w:t>
            </w:r>
          </w:p>
        </w:tc>
      </w:tr>
      <w:tr w:rsidR="000F0EE2" w14:paraId="79BE9BC5" w14:textId="77777777" w:rsidTr="000F0EE2">
        <w:tc>
          <w:tcPr>
            <w:tcW w:w="3823" w:type="dxa"/>
          </w:tcPr>
          <w:p w14:paraId="517504D9" w14:textId="061B1E74" w:rsidR="000F0EE2" w:rsidRPr="000F0EE2" w:rsidRDefault="000F0EE2">
            <w:pPr>
              <w:spacing w:before="0" w:after="0" w:line="360" w:lineRule="auto"/>
              <w:rPr>
                <w:rFonts w:cs="Arial"/>
              </w:rPr>
            </w:pPr>
            <w:r w:rsidRPr="000F0EE2">
              <w:rPr>
                <w:rFonts w:eastAsia="Times New Roman" w:cs="Arial"/>
                <w:color w:val="000000"/>
                <w:lang w:eastAsia="en-GB"/>
              </w:rPr>
              <w:t>Enacted Budget</w:t>
            </w:r>
          </w:p>
        </w:tc>
        <w:tc>
          <w:tcPr>
            <w:tcW w:w="3543" w:type="dxa"/>
          </w:tcPr>
          <w:p w14:paraId="1147DF1D" w14:textId="4C182E1B" w:rsidR="000F0EE2" w:rsidRPr="000F0EE2" w:rsidRDefault="000F0EE2">
            <w:pPr>
              <w:spacing w:before="0" w:after="0" w:line="360" w:lineRule="auto"/>
              <w:rPr>
                <w:rFonts w:cs="Arial"/>
              </w:rPr>
            </w:pPr>
            <w:r w:rsidRPr="000F0EE2">
              <w:rPr>
                <w:rFonts w:cs="Arial"/>
              </w:rPr>
              <w:t>100</w:t>
            </w:r>
          </w:p>
        </w:tc>
        <w:tc>
          <w:tcPr>
            <w:tcW w:w="2552" w:type="dxa"/>
          </w:tcPr>
          <w:p w14:paraId="0D470CB1" w14:textId="5EE26DD6" w:rsidR="000F0EE2" w:rsidRPr="000F0EE2" w:rsidRDefault="000F0EE2">
            <w:pPr>
              <w:spacing w:before="0" w:after="0" w:line="360" w:lineRule="auto"/>
              <w:rPr>
                <w:rFonts w:cs="Arial"/>
              </w:rPr>
            </w:pPr>
            <w:r w:rsidRPr="000F0EE2">
              <w:rPr>
                <w:rFonts w:cs="Arial"/>
              </w:rPr>
              <w:t>89</w:t>
            </w:r>
          </w:p>
        </w:tc>
      </w:tr>
      <w:tr w:rsidR="000F0EE2" w14:paraId="665FC876" w14:textId="77777777" w:rsidTr="000F0EE2">
        <w:tc>
          <w:tcPr>
            <w:tcW w:w="3823" w:type="dxa"/>
          </w:tcPr>
          <w:p w14:paraId="206ABA9F" w14:textId="6655A3D6" w:rsidR="000F0EE2" w:rsidRPr="000F0EE2" w:rsidRDefault="000F0EE2">
            <w:pPr>
              <w:spacing w:before="0" w:after="0" w:line="360" w:lineRule="auto"/>
              <w:rPr>
                <w:rFonts w:cs="Arial"/>
              </w:rPr>
            </w:pPr>
            <w:r w:rsidRPr="000F0EE2">
              <w:rPr>
                <w:rFonts w:eastAsia="Times New Roman" w:cs="Arial"/>
                <w:color w:val="000000"/>
                <w:lang w:eastAsia="en-GB"/>
              </w:rPr>
              <w:t>Citizen's Budget</w:t>
            </w:r>
          </w:p>
        </w:tc>
        <w:tc>
          <w:tcPr>
            <w:tcW w:w="3543" w:type="dxa"/>
          </w:tcPr>
          <w:p w14:paraId="39862886" w14:textId="7E7B3250" w:rsidR="000F0EE2" w:rsidRPr="000F0EE2" w:rsidRDefault="000F0EE2">
            <w:pPr>
              <w:spacing w:before="0" w:after="0" w:line="360" w:lineRule="auto"/>
              <w:rPr>
                <w:rFonts w:cs="Arial"/>
              </w:rPr>
            </w:pPr>
            <w:r w:rsidRPr="000F0EE2">
              <w:rPr>
                <w:rFonts w:cs="Arial"/>
              </w:rPr>
              <w:t>0</w:t>
            </w:r>
          </w:p>
        </w:tc>
        <w:tc>
          <w:tcPr>
            <w:tcW w:w="2552" w:type="dxa"/>
          </w:tcPr>
          <w:p w14:paraId="6ACD7072" w14:textId="38F891E7" w:rsidR="000F0EE2" w:rsidRPr="000F0EE2" w:rsidRDefault="000F0EE2">
            <w:pPr>
              <w:spacing w:before="0" w:after="0" w:line="360" w:lineRule="auto"/>
              <w:rPr>
                <w:rFonts w:cs="Arial"/>
              </w:rPr>
            </w:pPr>
            <w:r w:rsidRPr="000F0EE2">
              <w:rPr>
                <w:rFonts w:cs="Arial"/>
              </w:rPr>
              <w:t>40</w:t>
            </w:r>
          </w:p>
        </w:tc>
      </w:tr>
      <w:tr w:rsidR="000F0EE2" w14:paraId="0EF37EEB" w14:textId="77777777" w:rsidTr="000F0EE2">
        <w:tc>
          <w:tcPr>
            <w:tcW w:w="3823" w:type="dxa"/>
          </w:tcPr>
          <w:p w14:paraId="039A4B3C" w14:textId="3C61193C" w:rsidR="000F0EE2" w:rsidRPr="000F0EE2" w:rsidRDefault="000F0EE2">
            <w:pPr>
              <w:spacing w:before="0" w:after="0" w:line="360" w:lineRule="auto"/>
              <w:rPr>
                <w:rFonts w:cs="Arial"/>
              </w:rPr>
            </w:pPr>
            <w:r w:rsidRPr="000F0EE2">
              <w:rPr>
                <w:rFonts w:eastAsia="Times New Roman" w:cs="Arial"/>
                <w:color w:val="000000"/>
                <w:lang w:eastAsia="en-GB"/>
              </w:rPr>
              <w:t>In-Year Reports</w:t>
            </w:r>
          </w:p>
        </w:tc>
        <w:tc>
          <w:tcPr>
            <w:tcW w:w="3543" w:type="dxa"/>
          </w:tcPr>
          <w:p w14:paraId="5144F3A5" w14:textId="7411D87A" w:rsidR="000F0EE2" w:rsidRPr="000F0EE2" w:rsidRDefault="000F0EE2">
            <w:pPr>
              <w:spacing w:before="0" w:after="0" w:line="360" w:lineRule="auto"/>
              <w:rPr>
                <w:rFonts w:cs="Arial"/>
              </w:rPr>
            </w:pPr>
            <w:r w:rsidRPr="000F0EE2">
              <w:rPr>
                <w:rFonts w:cs="Arial"/>
              </w:rPr>
              <w:t>0</w:t>
            </w:r>
          </w:p>
        </w:tc>
        <w:tc>
          <w:tcPr>
            <w:tcW w:w="2552" w:type="dxa"/>
          </w:tcPr>
          <w:p w14:paraId="5D43D948" w14:textId="6BAABDAC" w:rsidR="000F0EE2" w:rsidRPr="000F0EE2" w:rsidRDefault="000F0EE2">
            <w:pPr>
              <w:spacing w:before="0" w:after="0" w:line="360" w:lineRule="auto"/>
              <w:rPr>
                <w:rFonts w:cs="Arial"/>
              </w:rPr>
            </w:pPr>
            <w:r w:rsidRPr="000F0EE2">
              <w:rPr>
                <w:rFonts w:cs="Arial"/>
              </w:rPr>
              <w:t>0</w:t>
            </w:r>
          </w:p>
        </w:tc>
      </w:tr>
      <w:tr w:rsidR="000F0EE2" w14:paraId="5DCB2608" w14:textId="77777777" w:rsidTr="000F0EE2">
        <w:tc>
          <w:tcPr>
            <w:tcW w:w="3823" w:type="dxa"/>
          </w:tcPr>
          <w:p w14:paraId="2E58B618" w14:textId="3E531046" w:rsidR="000F0EE2" w:rsidRPr="000F0EE2" w:rsidRDefault="000F0EE2">
            <w:pPr>
              <w:spacing w:before="0" w:after="0" w:line="360" w:lineRule="auto"/>
              <w:rPr>
                <w:rFonts w:cs="Arial"/>
              </w:rPr>
            </w:pPr>
            <w:r w:rsidRPr="000F0EE2">
              <w:rPr>
                <w:rFonts w:eastAsia="Times New Roman" w:cs="Arial"/>
                <w:color w:val="000000"/>
                <w:lang w:eastAsia="en-GB"/>
              </w:rPr>
              <w:t>Mid-Year Report</w:t>
            </w:r>
          </w:p>
        </w:tc>
        <w:tc>
          <w:tcPr>
            <w:tcW w:w="3543" w:type="dxa"/>
          </w:tcPr>
          <w:p w14:paraId="1C4E7D74" w14:textId="13A4282C" w:rsidR="000F0EE2" w:rsidRPr="000F0EE2" w:rsidRDefault="000F0EE2">
            <w:pPr>
              <w:spacing w:before="0" w:after="0" w:line="360" w:lineRule="auto"/>
              <w:rPr>
                <w:rFonts w:cs="Arial"/>
              </w:rPr>
            </w:pPr>
            <w:r w:rsidRPr="000F0EE2">
              <w:rPr>
                <w:rFonts w:cs="Arial"/>
              </w:rPr>
              <w:t>0</w:t>
            </w:r>
          </w:p>
        </w:tc>
        <w:tc>
          <w:tcPr>
            <w:tcW w:w="2552" w:type="dxa"/>
          </w:tcPr>
          <w:p w14:paraId="0A2F909A" w14:textId="437D49BD" w:rsidR="000F0EE2" w:rsidRPr="000F0EE2" w:rsidRDefault="000F0EE2">
            <w:pPr>
              <w:spacing w:before="0" w:after="0" w:line="360" w:lineRule="auto"/>
              <w:rPr>
                <w:rFonts w:cs="Arial"/>
              </w:rPr>
            </w:pPr>
            <w:r w:rsidRPr="000F0EE2">
              <w:rPr>
                <w:rFonts w:cs="Arial"/>
              </w:rPr>
              <w:t>70</w:t>
            </w:r>
          </w:p>
        </w:tc>
      </w:tr>
      <w:tr w:rsidR="000F0EE2" w14:paraId="3992EEE6" w14:textId="77777777" w:rsidTr="000F0EE2">
        <w:tc>
          <w:tcPr>
            <w:tcW w:w="3823" w:type="dxa"/>
          </w:tcPr>
          <w:p w14:paraId="557EE2B0" w14:textId="63C4F315" w:rsidR="000F0EE2" w:rsidRPr="000F0EE2" w:rsidRDefault="000F0EE2">
            <w:pPr>
              <w:spacing w:before="0" w:after="0" w:line="360" w:lineRule="auto"/>
              <w:rPr>
                <w:rFonts w:cs="Arial"/>
              </w:rPr>
            </w:pPr>
            <w:r w:rsidRPr="000F0EE2">
              <w:rPr>
                <w:rFonts w:eastAsia="Times New Roman" w:cs="Arial"/>
                <w:color w:val="000000"/>
                <w:lang w:eastAsia="en-GB"/>
              </w:rPr>
              <w:t>Year-End Report</w:t>
            </w:r>
          </w:p>
        </w:tc>
        <w:tc>
          <w:tcPr>
            <w:tcW w:w="3543" w:type="dxa"/>
          </w:tcPr>
          <w:p w14:paraId="7FCB5559" w14:textId="37C80CA7" w:rsidR="000F0EE2" w:rsidRPr="000F0EE2" w:rsidRDefault="000F0EE2">
            <w:pPr>
              <w:spacing w:before="0" w:after="0" w:line="360" w:lineRule="auto"/>
              <w:rPr>
                <w:rFonts w:cs="Arial"/>
              </w:rPr>
            </w:pPr>
            <w:r w:rsidRPr="000F0EE2">
              <w:rPr>
                <w:rFonts w:cs="Arial"/>
              </w:rPr>
              <w:t>39</w:t>
            </w:r>
          </w:p>
        </w:tc>
        <w:tc>
          <w:tcPr>
            <w:tcW w:w="2552" w:type="dxa"/>
          </w:tcPr>
          <w:p w14:paraId="36962840" w14:textId="05FF30B3" w:rsidR="000F0EE2" w:rsidRPr="000F0EE2" w:rsidRDefault="000F0EE2">
            <w:pPr>
              <w:spacing w:before="0" w:after="0" w:line="360" w:lineRule="auto"/>
              <w:rPr>
                <w:rFonts w:cs="Arial"/>
              </w:rPr>
            </w:pPr>
            <w:r w:rsidRPr="000F0EE2">
              <w:rPr>
                <w:rFonts w:cs="Arial"/>
              </w:rPr>
              <w:t>74</w:t>
            </w:r>
          </w:p>
        </w:tc>
      </w:tr>
      <w:tr w:rsidR="000F0EE2" w14:paraId="23122B2A" w14:textId="77777777" w:rsidTr="000F0EE2">
        <w:tc>
          <w:tcPr>
            <w:tcW w:w="3823" w:type="dxa"/>
          </w:tcPr>
          <w:p w14:paraId="19715A93" w14:textId="01BFDA7D" w:rsidR="000F0EE2" w:rsidRPr="000F0EE2" w:rsidRDefault="000F0EE2">
            <w:pPr>
              <w:spacing w:before="0" w:after="0" w:line="360" w:lineRule="auto"/>
              <w:rPr>
                <w:rFonts w:eastAsia="Times New Roman" w:cs="Arial"/>
                <w:color w:val="000000"/>
                <w:lang w:eastAsia="en-GB"/>
              </w:rPr>
            </w:pPr>
            <w:r w:rsidRPr="000F0EE2">
              <w:rPr>
                <w:rFonts w:eastAsia="Times New Roman" w:cs="Arial"/>
                <w:color w:val="000000"/>
                <w:lang w:eastAsia="en-GB"/>
              </w:rPr>
              <w:t>Audit Report</w:t>
            </w:r>
          </w:p>
        </w:tc>
        <w:tc>
          <w:tcPr>
            <w:tcW w:w="3543" w:type="dxa"/>
          </w:tcPr>
          <w:p w14:paraId="2CAC74AC" w14:textId="49B5B3D0" w:rsidR="000F0EE2" w:rsidRPr="000F0EE2" w:rsidRDefault="000F0EE2">
            <w:pPr>
              <w:spacing w:before="0" w:after="0" w:line="360" w:lineRule="auto"/>
              <w:rPr>
                <w:rFonts w:cs="Arial"/>
              </w:rPr>
            </w:pPr>
            <w:r w:rsidRPr="000F0EE2">
              <w:rPr>
                <w:rFonts w:cs="Arial"/>
              </w:rPr>
              <w:t>81</w:t>
            </w:r>
          </w:p>
        </w:tc>
        <w:tc>
          <w:tcPr>
            <w:tcW w:w="2552" w:type="dxa"/>
          </w:tcPr>
          <w:p w14:paraId="6F04B7F5" w14:textId="12ABD3FC" w:rsidR="000F0EE2" w:rsidRPr="000F0EE2" w:rsidRDefault="000F0EE2">
            <w:pPr>
              <w:spacing w:before="0" w:after="0" w:line="360" w:lineRule="auto"/>
              <w:rPr>
                <w:rFonts w:cs="Arial"/>
              </w:rPr>
            </w:pPr>
            <w:r w:rsidRPr="000F0EE2">
              <w:rPr>
                <w:rFonts w:cs="Arial"/>
              </w:rPr>
              <w:t>76</w:t>
            </w:r>
          </w:p>
        </w:tc>
      </w:tr>
    </w:tbl>
    <w:p w14:paraId="3A7B0E70" w14:textId="269ADFB5" w:rsidR="000F0EE2" w:rsidRDefault="000F0EE2">
      <w:pPr>
        <w:spacing w:before="0" w:after="0" w:line="360" w:lineRule="auto"/>
      </w:pPr>
      <w:r>
        <w:br w:type="page"/>
      </w:r>
    </w:p>
    <w:p w14:paraId="4D1B41D9" w14:textId="44374EE5" w:rsidR="00DC2BC6" w:rsidRDefault="005F58AA" w:rsidP="007F17DE">
      <w:r>
        <w:lastRenderedPageBreak/>
        <w:t xml:space="preserve">Table </w:t>
      </w:r>
      <w:r w:rsidR="00DB4D8C">
        <w:t>6</w:t>
      </w:r>
      <w:r>
        <w:t xml:space="preserve"> - </w:t>
      </w:r>
      <w:r w:rsidRPr="00DF53A1">
        <w:t>How comprehensive is the content of the key budget documents that Scotland makes available to the public?</w:t>
      </w:r>
      <w:bookmarkEnd w:id="26"/>
    </w:p>
    <w:tbl>
      <w:tblPr>
        <w:tblStyle w:val="TableGrid"/>
        <w:tblpPr w:leftFromText="180" w:rightFromText="180" w:vertAnchor="text" w:tblpX="-578" w:tblpY="1"/>
        <w:tblOverlap w:val="never"/>
        <w:tblW w:w="10698" w:type="dxa"/>
        <w:tblLook w:val="04A0" w:firstRow="1" w:lastRow="0" w:firstColumn="1" w:lastColumn="0" w:noHBand="0" w:noVBand="1"/>
      </w:tblPr>
      <w:tblGrid>
        <w:gridCol w:w="1740"/>
        <w:gridCol w:w="2414"/>
        <w:gridCol w:w="2813"/>
        <w:gridCol w:w="1161"/>
        <w:gridCol w:w="1477"/>
        <w:gridCol w:w="1093"/>
      </w:tblGrid>
      <w:tr w:rsidR="001A5942" w:rsidRPr="00602009" w14:paraId="573F0E61" w14:textId="77777777" w:rsidTr="001A5942">
        <w:trPr>
          <w:cantSplit/>
          <w:trHeight w:val="1470"/>
          <w:tblHeader/>
        </w:trPr>
        <w:tc>
          <w:tcPr>
            <w:tcW w:w="1740" w:type="dxa"/>
            <w:shd w:val="clear" w:color="auto" w:fill="8BADDC"/>
          </w:tcPr>
          <w:p w14:paraId="0FD3D39E" w14:textId="77777777" w:rsidR="001A5942" w:rsidRPr="00602009" w:rsidRDefault="001A5942" w:rsidP="00E50E3E">
            <w:pPr>
              <w:rPr>
                <w:rStyle w:val="Strong"/>
                <w:rFonts w:cs="Arial"/>
              </w:rPr>
            </w:pPr>
            <w:r w:rsidRPr="00602009">
              <w:rPr>
                <w:rStyle w:val="Strong"/>
                <w:rFonts w:cs="Arial"/>
              </w:rPr>
              <w:t>Key budget document</w:t>
            </w:r>
          </w:p>
        </w:tc>
        <w:tc>
          <w:tcPr>
            <w:tcW w:w="2414" w:type="dxa"/>
            <w:shd w:val="clear" w:color="auto" w:fill="8BADDC"/>
          </w:tcPr>
          <w:p w14:paraId="4C69FB10" w14:textId="77777777" w:rsidR="001A5942" w:rsidRPr="00602009" w:rsidRDefault="001A5942" w:rsidP="00E50E3E">
            <w:pPr>
              <w:rPr>
                <w:rStyle w:val="Strong"/>
                <w:rFonts w:cs="Arial"/>
              </w:rPr>
            </w:pPr>
            <w:r w:rsidRPr="00602009">
              <w:rPr>
                <w:rStyle w:val="Strong"/>
                <w:rFonts w:cs="Arial"/>
              </w:rPr>
              <w:t>Document purpose and contents</w:t>
            </w:r>
          </w:p>
        </w:tc>
        <w:tc>
          <w:tcPr>
            <w:tcW w:w="2813" w:type="dxa"/>
            <w:shd w:val="clear" w:color="auto" w:fill="8BADDC"/>
          </w:tcPr>
          <w:p w14:paraId="18D1642A" w14:textId="77777777" w:rsidR="001A5942" w:rsidRPr="00602009" w:rsidRDefault="001A5942" w:rsidP="00E50E3E">
            <w:pPr>
              <w:rPr>
                <w:rStyle w:val="Strong"/>
                <w:rFonts w:cs="Arial"/>
              </w:rPr>
            </w:pPr>
            <w:r w:rsidRPr="00602009">
              <w:rPr>
                <w:rStyle w:val="Strong"/>
                <w:rFonts w:cs="Arial"/>
              </w:rPr>
              <w:t xml:space="preserve">Notes of difference between 2023 and 2019 </w:t>
            </w:r>
          </w:p>
        </w:tc>
        <w:tc>
          <w:tcPr>
            <w:tcW w:w="1161" w:type="dxa"/>
            <w:shd w:val="clear" w:color="auto" w:fill="8BADDC"/>
          </w:tcPr>
          <w:p w14:paraId="33FC6072" w14:textId="77777777" w:rsidR="001A5942" w:rsidRPr="00602009" w:rsidRDefault="001A5942" w:rsidP="00E50E3E">
            <w:pPr>
              <w:rPr>
                <w:rStyle w:val="Strong"/>
                <w:rFonts w:cs="Arial"/>
              </w:rPr>
            </w:pPr>
            <w:r w:rsidRPr="00602009">
              <w:rPr>
                <w:rStyle w:val="Strong"/>
                <w:rFonts w:cs="Arial"/>
              </w:rPr>
              <w:t>Content score 2019</w:t>
            </w:r>
          </w:p>
        </w:tc>
        <w:tc>
          <w:tcPr>
            <w:tcW w:w="1477" w:type="dxa"/>
            <w:shd w:val="clear" w:color="auto" w:fill="8BADDC"/>
          </w:tcPr>
          <w:p w14:paraId="740CD04D" w14:textId="77777777" w:rsidR="001A5942" w:rsidRPr="00602009" w:rsidRDefault="001A5942" w:rsidP="00E50E3E">
            <w:pPr>
              <w:rPr>
                <w:rStyle w:val="Strong"/>
                <w:rFonts w:cs="Arial"/>
              </w:rPr>
            </w:pPr>
            <w:r w:rsidRPr="00602009">
              <w:rPr>
                <w:rStyle w:val="Strong"/>
                <w:rFonts w:cs="Arial"/>
              </w:rPr>
              <w:t>Content score 2023</w:t>
            </w:r>
          </w:p>
        </w:tc>
        <w:tc>
          <w:tcPr>
            <w:tcW w:w="1093" w:type="dxa"/>
            <w:shd w:val="clear" w:color="auto" w:fill="8BADDC"/>
          </w:tcPr>
          <w:p w14:paraId="2AA0007A" w14:textId="77777777" w:rsidR="001A5942" w:rsidRPr="00602009" w:rsidRDefault="001A5942" w:rsidP="00E50E3E">
            <w:pPr>
              <w:rPr>
                <w:rStyle w:val="Strong"/>
                <w:rFonts w:cs="Arial"/>
              </w:rPr>
            </w:pPr>
            <w:r w:rsidRPr="00602009">
              <w:rPr>
                <w:rStyle w:val="Strong"/>
                <w:rFonts w:cs="Arial"/>
              </w:rPr>
              <w:t>Score change</w:t>
            </w:r>
          </w:p>
        </w:tc>
      </w:tr>
      <w:tr w:rsidR="001A5942" w:rsidRPr="00602009" w14:paraId="24220044" w14:textId="77777777" w:rsidTr="001A5942">
        <w:trPr>
          <w:cantSplit/>
          <w:trHeight w:val="1470"/>
          <w:tblHeader/>
        </w:trPr>
        <w:tc>
          <w:tcPr>
            <w:tcW w:w="1740" w:type="dxa"/>
            <w:shd w:val="clear" w:color="auto" w:fill="FFFFFF" w:themeFill="background1"/>
          </w:tcPr>
          <w:p w14:paraId="24A1936A" w14:textId="516B7F3C" w:rsidR="001A5942" w:rsidRPr="00602009" w:rsidRDefault="001A5942" w:rsidP="001A5942">
            <w:pPr>
              <w:rPr>
                <w:rStyle w:val="Strong"/>
                <w:rFonts w:cs="Arial"/>
                <w:b w:val="0"/>
                <w:bCs w:val="0"/>
              </w:rPr>
            </w:pPr>
            <w:r w:rsidRPr="00602009">
              <w:rPr>
                <w:rStyle w:val="Strong"/>
                <w:rFonts w:cs="Arial"/>
                <w:b w:val="0"/>
                <w:bCs w:val="0"/>
              </w:rPr>
              <w:t>Pre-Budget Statement</w:t>
            </w:r>
          </w:p>
        </w:tc>
        <w:tc>
          <w:tcPr>
            <w:tcW w:w="2414" w:type="dxa"/>
            <w:shd w:val="clear" w:color="auto" w:fill="FFFFFF" w:themeFill="background1"/>
          </w:tcPr>
          <w:p w14:paraId="289CF3AB" w14:textId="77777777" w:rsidR="001A5942" w:rsidRPr="00602009" w:rsidRDefault="001A5942" w:rsidP="001A5942">
            <w:pPr>
              <w:pStyle w:val="TableNormal1"/>
              <w:spacing w:before="240" w:after="240" w:line="276" w:lineRule="auto"/>
              <w:rPr>
                <w:rFonts w:cs="Arial"/>
                <w:sz w:val="24"/>
                <w:szCs w:val="24"/>
              </w:rPr>
            </w:pPr>
            <w:r w:rsidRPr="00602009">
              <w:rPr>
                <w:rFonts w:cs="Arial"/>
                <w:sz w:val="24"/>
                <w:szCs w:val="24"/>
              </w:rPr>
              <w:t>Discloses the broad parameters of fiscal policies in advance of the Executive's Budget Proposal; outlines the government's economic forecast, anticipated revenue, expenditures, and debt.</w:t>
            </w:r>
          </w:p>
          <w:p w14:paraId="65A119C1" w14:textId="77777777" w:rsidR="001A5942" w:rsidRPr="00602009" w:rsidRDefault="001A5942" w:rsidP="001A5942">
            <w:pPr>
              <w:rPr>
                <w:rStyle w:val="Strong"/>
                <w:rFonts w:cs="Arial"/>
              </w:rPr>
            </w:pPr>
          </w:p>
        </w:tc>
        <w:tc>
          <w:tcPr>
            <w:tcW w:w="2813" w:type="dxa"/>
            <w:shd w:val="clear" w:color="auto" w:fill="FFFFFF" w:themeFill="background1"/>
          </w:tcPr>
          <w:p w14:paraId="7065EF8E" w14:textId="7B33AEA4" w:rsidR="001A5942" w:rsidRPr="00602009" w:rsidRDefault="001A5942" w:rsidP="001A5942">
            <w:pPr>
              <w:rPr>
                <w:rStyle w:val="Strong"/>
                <w:rFonts w:cs="Arial"/>
              </w:rPr>
            </w:pPr>
            <w:r w:rsidRPr="00602009">
              <w:rPr>
                <w:rFonts w:cs="Arial"/>
                <w:sz w:val="24"/>
                <w:szCs w:val="24"/>
              </w:rPr>
              <w:t xml:space="preserve">There was no PBS for either year. </w:t>
            </w:r>
            <w:r w:rsidRPr="00602009">
              <w:rPr>
                <w:rStyle w:val="footnoteChar"/>
                <w:rFonts w:eastAsiaTheme="minorHAnsi" w:cs="Arial"/>
                <w:sz w:val="24"/>
                <w:szCs w:val="24"/>
                <w:lang w:val="en-GB"/>
              </w:rPr>
              <w:t>The Scottish Government asked for OBS 2023 if the Medium-Term Financial Strategy could be considered a pre-budget statement but given that it was published on the same day as the EBP (28/01/21) it couldn’t have been used to encourage debate on the budget in advance of the EBP like a PBS should. See Appendix 3 for details of how this could be improved.</w:t>
            </w:r>
          </w:p>
        </w:tc>
        <w:tc>
          <w:tcPr>
            <w:tcW w:w="1161" w:type="dxa"/>
            <w:shd w:val="clear" w:color="auto" w:fill="FFFFFF" w:themeFill="background1"/>
          </w:tcPr>
          <w:p w14:paraId="11A410C0" w14:textId="2D1E2487" w:rsidR="001A5942" w:rsidRPr="00602009" w:rsidRDefault="001A5942" w:rsidP="001A5942">
            <w:pPr>
              <w:jc w:val="center"/>
              <w:rPr>
                <w:rStyle w:val="Strong"/>
                <w:rFonts w:cs="Arial"/>
                <w:b w:val="0"/>
                <w:bCs w:val="0"/>
              </w:rPr>
            </w:pPr>
            <w:r w:rsidRPr="00602009">
              <w:rPr>
                <w:rStyle w:val="Strong"/>
                <w:rFonts w:cs="Arial"/>
                <w:b w:val="0"/>
                <w:bCs w:val="0"/>
              </w:rPr>
              <w:t>0</w:t>
            </w:r>
          </w:p>
        </w:tc>
        <w:tc>
          <w:tcPr>
            <w:tcW w:w="1477" w:type="dxa"/>
            <w:shd w:val="clear" w:color="auto" w:fill="FFFFFF" w:themeFill="background1"/>
          </w:tcPr>
          <w:p w14:paraId="5E235A75" w14:textId="786C1240" w:rsidR="001A5942" w:rsidRPr="00602009" w:rsidRDefault="001A5942" w:rsidP="001A5942">
            <w:pPr>
              <w:jc w:val="center"/>
              <w:rPr>
                <w:rStyle w:val="Strong"/>
                <w:rFonts w:cs="Arial"/>
                <w:b w:val="0"/>
                <w:bCs w:val="0"/>
              </w:rPr>
            </w:pPr>
            <w:r w:rsidRPr="00602009">
              <w:rPr>
                <w:rStyle w:val="Strong"/>
                <w:rFonts w:cs="Arial"/>
                <w:b w:val="0"/>
                <w:bCs w:val="0"/>
              </w:rPr>
              <w:t>0</w:t>
            </w:r>
          </w:p>
        </w:tc>
        <w:tc>
          <w:tcPr>
            <w:tcW w:w="1093" w:type="dxa"/>
            <w:shd w:val="clear" w:color="auto" w:fill="FFFFFF" w:themeFill="background1"/>
          </w:tcPr>
          <w:p w14:paraId="0D522A00" w14:textId="57F847E4" w:rsidR="001A5942" w:rsidRPr="00602009" w:rsidRDefault="00602009" w:rsidP="001A5942">
            <w:pPr>
              <w:rPr>
                <w:rStyle w:val="Strong"/>
                <w:rFonts w:cs="Arial"/>
              </w:rPr>
            </w:pPr>
            <w:r w:rsidRPr="00602009">
              <w:rPr>
                <w:rFonts w:cs="Arial"/>
                <w:noProof/>
                <w:sz w:val="24"/>
                <w:szCs w:val="24"/>
              </w:rPr>
              <w:t>No change</w:t>
            </w:r>
          </w:p>
        </w:tc>
      </w:tr>
    </w:tbl>
    <w:p w14:paraId="183B9203" w14:textId="6C71F1CB" w:rsidR="005B039F" w:rsidRPr="00602009" w:rsidRDefault="005B039F" w:rsidP="005B039F">
      <w:pPr>
        <w:rPr>
          <w:rFonts w:cs="Arial"/>
          <w:sz w:val="24"/>
          <w:szCs w:val="24"/>
        </w:rPr>
      </w:pPr>
    </w:p>
    <w:p w14:paraId="532924B4" w14:textId="77777777" w:rsidR="001A5942" w:rsidRPr="00602009" w:rsidRDefault="001A5942" w:rsidP="005B039F">
      <w:pPr>
        <w:rPr>
          <w:rFonts w:cs="Arial"/>
          <w:sz w:val="24"/>
          <w:szCs w:val="24"/>
        </w:rPr>
      </w:pPr>
    </w:p>
    <w:tbl>
      <w:tblPr>
        <w:tblStyle w:val="TableGrid"/>
        <w:tblpPr w:leftFromText="180" w:rightFromText="180" w:vertAnchor="text" w:tblpX="-578" w:tblpY="1"/>
        <w:tblOverlap w:val="never"/>
        <w:tblW w:w="10627" w:type="dxa"/>
        <w:tblLook w:val="04A0" w:firstRow="1" w:lastRow="0" w:firstColumn="1" w:lastColumn="0" w:noHBand="0" w:noVBand="1"/>
        <w:tblCaption w:val="Key budget documents, their purpose, content, and score change from 2019 to 2023"/>
      </w:tblPr>
      <w:tblGrid>
        <w:gridCol w:w="1635"/>
        <w:gridCol w:w="2385"/>
        <w:gridCol w:w="2900"/>
        <w:gridCol w:w="1133"/>
        <w:gridCol w:w="1330"/>
        <w:gridCol w:w="1244"/>
      </w:tblGrid>
      <w:tr w:rsidR="00BD6CFD" w:rsidRPr="00602009" w14:paraId="22DE2951" w14:textId="77777777" w:rsidTr="005B039F">
        <w:trPr>
          <w:cantSplit/>
          <w:tblHeader/>
        </w:trPr>
        <w:tc>
          <w:tcPr>
            <w:tcW w:w="1658" w:type="dxa"/>
            <w:shd w:val="clear" w:color="auto" w:fill="8BADDC"/>
          </w:tcPr>
          <w:p w14:paraId="28FCF2CD" w14:textId="77777777" w:rsidR="00BD6CFD" w:rsidRPr="00602009" w:rsidRDefault="00BD6CFD" w:rsidP="00115F4B">
            <w:pPr>
              <w:rPr>
                <w:rStyle w:val="Strong"/>
                <w:rFonts w:cs="Arial"/>
                <w:b w:val="0"/>
                <w:bCs w:val="0"/>
              </w:rPr>
            </w:pPr>
            <w:r w:rsidRPr="00602009">
              <w:rPr>
                <w:rStyle w:val="Strong"/>
                <w:rFonts w:cs="Arial"/>
                <w:b w:val="0"/>
                <w:bCs w:val="0"/>
              </w:rPr>
              <w:lastRenderedPageBreak/>
              <w:t>Key budget document</w:t>
            </w:r>
          </w:p>
        </w:tc>
        <w:tc>
          <w:tcPr>
            <w:tcW w:w="2446" w:type="dxa"/>
            <w:shd w:val="clear" w:color="auto" w:fill="8BADDC"/>
          </w:tcPr>
          <w:p w14:paraId="0AFB5DBF" w14:textId="77777777" w:rsidR="00BD6CFD" w:rsidRPr="00602009" w:rsidRDefault="00BD6CFD" w:rsidP="00115F4B">
            <w:pPr>
              <w:rPr>
                <w:rStyle w:val="Strong"/>
                <w:rFonts w:cs="Arial"/>
              </w:rPr>
            </w:pPr>
            <w:r w:rsidRPr="00602009">
              <w:rPr>
                <w:rStyle w:val="Strong"/>
                <w:rFonts w:cs="Arial"/>
              </w:rPr>
              <w:t>Document purpose and contents</w:t>
            </w:r>
          </w:p>
        </w:tc>
        <w:tc>
          <w:tcPr>
            <w:tcW w:w="2979" w:type="dxa"/>
            <w:shd w:val="clear" w:color="auto" w:fill="8BADDC"/>
          </w:tcPr>
          <w:p w14:paraId="68480F7F" w14:textId="77777777" w:rsidR="00BD6CFD" w:rsidRPr="00602009" w:rsidRDefault="00BD6CFD" w:rsidP="00115F4B">
            <w:pPr>
              <w:rPr>
                <w:rStyle w:val="Strong"/>
                <w:rFonts w:cs="Arial"/>
              </w:rPr>
            </w:pPr>
            <w:r w:rsidRPr="00602009">
              <w:rPr>
                <w:rStyle w:val="Strong"/>
                <w:rFonts w:cs="Arial"/>
              </w:rPr>
              <w:t xml:space="preserve">Notes of difference between 2023 and 2019 </w:t>
            </w:r>
          </w:p>
        </w:tc>
        <w:tc>
          <w:tcPr>
            <w:tcW w:w="1134" w:type="dxa"/>
            <w:shd w:val="clear" w:color="auto" w:fill="8BADDC"/>
          </w:tcPr>
          <w:p w14:paraId="2F87744C" w14:textId="77777777" w:rsidR="00BD6CFD" w:rsidRPr="00602009" w:rsidRDefault="00BD6CFD" w:rsidP="00115F4B">
            <w:pPr>
              <w:rPr>
                <w:rStyle w:val="Strong"/>
                <w:rFonts w:cs="Arial"/>
              </w:rPr>
            </w:pPr>
            <w:r w:rsidRPr="00602009">
              <w:rPr>
                <w:rStyle w:val="Strong"/>
                <w:rFonts w:cs="Arial"/>
              </w:rPr>
              <w:t>Content score 2019</w:t>
            </w:r>
          </w:p>
        </w:tc>
        <w:tc>
          <w:tcPr>
            <w:tcW w:w="1353" w:type="dxa"/>
            <w:shd w:val="clear" w:color="auto" w:fill="8BADDC"/>
          </w:tcPr>
          <w:p w14:paraId="7A85566E" w14:textId="77777777" w:rsidR="00BD6CFD" w:rsidRPr="00602009" w:rsidRDefault="00BD6CFD" w:rsidP="00115F4B">
            <w:pPr>
              <w:rPr>
                <w:rStyle w:val="Strong"/>
                <w:rFonts w:cs="Arial"/>
              </w:rPr>
            </w:pPr>
            <w:r w:rsidRPr="00602009">
              <w:rPr>
                <w:rStyle w:val="Strong"/>
                <w:rFonts w:cs="Arial"/>
              </w:rPr>
              <w:t>Content score 2023</w:t>
            </w:r>
          </w:p>
        </w:tc>
        <w:tc>
          <w:tcPr>
            <w:tcW w:w="1057" w:type="dxa"/>
            <w:shd w:val="clear" w:color="auto" w:fill="8BADDC"/>
          </w:tcPr>
          <w:p w14:paraId="6851BD75" w14:textId="77777777" w:rsidR="00BD6CFD" w:rsidRPr="00602009" w:rsidRDefault="00BD6CFD" w:rsidP="00115F4B">
            <w:pPr>
              <w:rPr>
                <w:rStyle w:val="Strong"/>
                <w:rFonts w:cs="Arial"/>
              </w:rPr>
            </w:pPr>
            <w:r w:rsidRPr="00602009">
              <w:rPr>
                <w:rStyle w:val="Strong"/>
                <w:rFonts w:cs="Arial"/>
              </w:rPr>
              <w:t>Score change</w:t>
            </w:r>
          </w:p>
        </w:tc>
      </w:tr>
      <w:tr w:rsidR="00BD6CFD" w:rsidRPr="00602009" w14:paraId="3D8CB6C0" w14:textId="77777777" w:rsidTr="005B039F">
        <w:tc>
          <w:tcPr>
            <w:tcW w:w="1658" w:type="dxa"/>
          </w:tcPr>
          <w:p w14:paraId="31178DFA" w14:textId="77777777" w:rsidR="00BD6CFD" w:rsidRPr="00602009" w:rsidRDefault="00BD6CFD" w:rsidP="00115F4B">
            <w:pPr>
              <w:rPr>
                <w:rStyle w:val="Strong"/>
                <w:rFonts w:cs="Arial"/>
                <w:b w:val="0"/>
                <w:bCs w:val="0"/>
              </w:rPr>
            </w:pPr>
            <w:r w:rsidRPr="00602009">
              <w:rPr>
                <w:rStyle w:val="Strong"/>
                <w:rFonts w:cs="Arial"/>
                <w:b w:val="0"/>
                <w:bCs w:val="0"/>
              </w:rPr>
              <w:t>Executive’s Budget Proposal</w:t>
            </w:r>
          </w:p>
        </w:tc>
        <w:tc>
          <w:tcPr>
            <w:tcW w:w="2446" w:type="dxa"/>
          </w:tcPr>
          <w:p w14:paraId="16346673" w14:textId="527B3012" w:rsidR="00BD6CFD" w:rsidRPr="00602009" w:rsidRDefault="005B039F" w:rsidP="005B039F">
            <w:pPr>
              <w:pStyle w:val="TableNormal1"/>
              <w:spacing w:before="240" w:after="240" w:line="276" w:lineRule="auto"/>
              <w:rPr>
                <w:rFonts w:cs="Arial"/>
                <w:sz w:val="24"/>
                <w:szCs w:val="24"/>
              </w:rPr>
            </w:pPr>
            <w:r w:rsidRPr="00602009">
              <w:rPr>
                <w:rFonts w:cs="Arial"/>
                <w:sz w:val="24"/>
                <w:szCs w:val="24"/>
              </w:rPr>
              <w:t>Submitted by the Executive to the legislature for approval; details the sources of revenue, the allocations to ministries, proposed policy changes, and other information important for understanding the country's fiscal situation.</w:t>
            </w:r>
          </w:p>
        </w:tc>
        <w:tc>
          <w:tcPr>
            <w:tcW w:w="2979" w:type="dxa"/>
          </w:tcPr>
          <w:p w14:paraId="734AFCA7"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More information was available surrounding the draft 2021/22 budget than in 2017/2018 leading to significant improvements.</w:t>
            </w:r>
          </w:p>
        </w:tc>
        <w:tc>
          <w:tcPr>
            <w:tcW w:w="1134" w:type="dxa"/>
          </w:tcPr>
          <w:p w14:paraId="1ECB7952" w14:textId="21C46E50"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53</w:t>
            </w:r>
          </w:p>
        </w:tc>
        <w:tc>
          <w:tcPr>
            <w:tcW w:w="1353" w:type="dxa"/>
          </w:tcPr>
          <w:p w14:paraId="7EFA12EE" w14:textId="5438DDB2"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67</w:t>
            </w:r>
          </w:p>
          <w:p w14:paraId="5AB533FD" w14:textId="77777777" w:rsidR="00BD6CFD" w:rsidRPr="00602009" w:rsidRDefault="00BD6CFD" w:rsidP="00115F4B">
            <w:pPr>
              <w:pStyle w:val="TableNormal1"/>
              <w:spacing w:before="240" w:after="240" w:line="276" w:lineRule="auto"/>
              <w:rPr>
                <w:rStyle w:val="Strong"/>
                <w:rFonts w:cs="Arial"/>
                <w:b w:val="0"/>
                <w:bCs w:val="0"/>
              </w:rPr>
            </w:pPr>
          </w:p>
          <w:p w14:paraId="749850BE" w14:textId="77777777" w:rsidR="00BD6CFD" w:rsidRPr="00602009" w:rsidRDefault="00BD6CFD" w:rsidP="00115F4B">
            <w:pPr>
              <w:pStyle w:val="TableNormal1"/>
              <w:spacing w:before="240" w:after="240" w:line="276" w:lineRule="auto"/>
              <w:rPr>
                <w:rStyle w:val="Strong"/>
                <w:rFonts w:cs="Arial"/>
                <w:b w:val="0"/>
                <w:bCs w:val="0"/>
              </w:rPr>
            </w:pPr>
          </w:p>
        </w:tc>
        <w:tc>
          <w:tcPr>
            <w:tcW w:w="1057" w:type="dxa"/>
          </w:tcPr>
          <w:p w14:paraId="125E6F14" w14:textId="0164D436" w:rsidR="00BD6CFD" w:rsidRPr="00602009" w:rsidRDefault="00602009" w:rsidP="00115F4B">
            <w:pPr>
              <w:pStyle w:val="TableNormal1"/>
              <w:spacing w:before="240" w:after="240" w:line="276" w:lineRule="auto"/>
              <w:rPr>
                <w:rFonts w:cs="Arial"/>
                <w:sz w:val="24"/>
                <w:szCs w:val="24"/>
              </w:rPr>
            </w:pPr>
            <w:r w:rsidRPr="00602009">
              <w:rPr>
                <w:rFonts w:cs="Arial"/>
                <w:noProof/>
                <w:sz w:val="24"/>
                <w:szCs w:val="24"/>
              </w:rPr>
              <w:t>Increase</w:t>
            </w:r>
          </w:p>
          <w:p w14:paraId="4BD81507" w14:textId="77777777" w:rsidR="00BD6CFD" w:rsidRPr="00602009" w:rsidRDefault="00BD6CFD" w:rsidP="00115F4B">
            <w:pPr>
              <w:pStyle w:val="TableNormal1"/>
              <w:spacing w:before="240" w:after="240" w:line="276" w:lineRule="auto"/>
              <w:rPr>
                <w:rFonts w:cs="Arial"/>
                <w:sz w:val="24"/>
                <w:szCs w:val="24"/>
              </w:rPr>
            </w:pPr>
          </w:p>
          <w:p w14:paraId="3BAB8150" w14:textId="77777777" w:rsidR="00BD6CFD" w:rsidRPr="00602009" w:rsidRDefault="00BD6CFD" w:rsidP="00115F4B">
            <w:pPr>
              <w:pStyle w:val="TableNormal1"/>
              <w:spacing w:before="240" w:after="240" w:line="276" w:lineRule="auto"/>
              <w:rPr>
                <w:rFonts w:cs="Arial"/>
                <w:sz w:val="24"/>
                <w:szCs w:val="24"/>
              </w:rPr>
            </w:pPr>
          </w:p>
        </w:tc>
      </w:tr>
      <w:tr w:rsidR="00BD6CFD" w:rsidRPr="00602009" w14:paraId="746E1ACA" w14:textId="77777777" w:rsidTr="005B039F">
        <w:tc>
          <w:tcPr>
            <w:tcW w:w="1658" w:type="dxa"/>
          </w:tcPr>
          <w:p w14:paraId="5A4BB1AD" w14:textId="77777777" w:rsidR="00BD6CFD" w:rsidRPr="00602009" w:rsidRDefault="00BD6CFD" w:rsidP="00115F4B">
            <w:pPr>
              <w:rPr>
                <w:rStyle w:val="Strong"/>
                <w:rFonts w:cs="Arial"/>
                <w:b w:val="0"/>
                <w:bCs w:val="0"/>
              </w:rPr>
            </w:pPr>
            <w:r w:rsidRPr="00602009">
              <w:rPr>
                <w:rStyle w:val="Strong"/>
                <w:rFonts w:cs="Arial"/>
                <w:b w:val="0"/>
                <w:bCs w:val="0"/>
              </w:rPr>
              <w:t>Enacted Budget</w:t>
            </w:r>
          </w:p>
        </w:tc>
        <w:tc>
          <w:tcPr>
            <w:tcW w:w="2446" w:type="dxa"/>
          </w:tcPr>
          <w:p w14:paraId="24EC1018"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The budget that has been approved by the legislature.</w:t>
            </w:r>
          </w:p>
        </w:tc>
        <w:tc>
          <w:tcPr>
            <w:tcW w:w="2979" w:type="dxa"/>
          </w:tcPr>
          <w:p w14:paraId="0F321ED2" w14:textId="04538CB0"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 xml:space="preserve">In 2017/2018 the EB came with considerable supporting documents. In 2021/2022 there did not seem to be supporting documents specifically for the EB. </w:t>
            </w:r>
          </w:p>
        </w:tc>
        <w:tc>
          <w:tcPr>
            <w:tcW w:w="1134" w:type="dxa"/>
          </w:tcPr>
          <w:p w14:paraId="10D51750" w14:textId="20BAD620"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100</w:t>
            </w:r>
          </w:p>
          <w:p w14:paraId="59EC144E" w14:textId="77777777" w:rsidR="00BD6CFD" w:rsidRPr="00602009" w:rsidRDefault="00BD6CFD" w:rsidP="00115F4B">
            <w:pPr>
              <w:pStyle w:val="TableNormal1"/>
              <w:spacing w:before="240" w:after="240" w:line="276" w:lineRule="auto"/>
              <w:rPr>
                <w:rStyle w:val="Strong"/>
                <w:rFonts w:cs="Arial"/>
                <w:b w:val="0"/>
                <w:bCs w:val="0"/>
              </w:rPr>
            </w:pPr>
          </w:p>
        </w:tc>
        <w:tc>
          <w:tcPr>
            <w:tcW w:w="1353" w:type="dxa"/>
          </w:tcPr>
          <w:p w14:paraId="50D3CFAC" w14:textId="376ED26B"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89</w:t>
            </w:r>
          </w:p>
          <w:p w14:paraId="68D2E36E" w14:textId="77777777" w:rsidR="00BD6CFD" w:rsidRPr="00602009" w:rsidRDefault="00BD6CFD" w:rsidP="00115F4B">
            <w:pPr>
              <w:pStyle w:val="TableNormal1"/>
              <w:spacing w:before="240" w:after="240" w:line="276" w:lineRule="auto"/>
              <w:rPr>
                <w:rStyle w:val="Strong"/>
                <w:rFonts w:cs="Arial"/>
                <w:b w:val="0"/>
                <w:bCs w:val="0"/>
              </w:rPr>
            </w:pPr>
          </w:p>
          <w:p w14:paraId="7D6BED04" w14:textId="77777777" w:rsidR="00BD6CFD" w:rsidRPr="00602009" w:rsidRDefault="00BD6CFD" w:rsidP="00115F4B">
            <w:pPr>
              <w:pStyle w:val="TableNormal1"/>
              <w:spacing w:before="240" w:after="240" w:line="276" w:lineRule="auto"/>
              <w:rPr>
                <w:rStyle w:val="Strong"/>
                <w:rFonts w:cs="Arial"/>
                <w:b w:val="0"/>
                <w:bCs w:val="0"/>
              </w:rPr>
            </w:pPr>
          </w:p>
        </w:tc>
        <w:tc>
          <w:tcPr>
            <w:tcW w:w="1057" w:type="dxa"/>
          </w:tcPr>
          <w:p w14:paraId="3070AE89" w14:textId="5A6920CE" w:rsidR="00BD6CFD" w:rsidRPr="00602009" w:rsidRDefault="00602009" w:rsidP="00115F4B">
            <w:pPr>
              <w:pStyle w:val="TableNormal1"/>
              <w:spacing w:before="240" w:after="240" w:line="276" w:lineRule="auto"/>
              <w:rPr>
                <w:rFonts w:cs="Arial"/>
                <w:sz w:val="24"/>
                <w:szCs w:val="24"/>
              </w:rPr>
            </w:pPr>
            <w:r w:rsidRPr="00602009">
              <w:rPr>
                <w:rFonts w:cs="Arial"/>
                <w:noProof/>
                <w:sz w:val="24"/>
                <w:szCs w:val="24"/>
              </w:rPr>
              <w:t>Decrease</w:t>
            </w:r>
          </w:p>
          <w:p w14:paraId="6DE48FD0" w14:textId="77777777" w:rsidR="00BD6CFD" w:rsidRPr="00602009" w:rsidRDefault="00BD6CFD" w:rsidP="00115F4B">
            <w:pPr>
              <w:pStyle w:val="TableNormal1"/>
              <w:spacing w:before="240" w:after="240" w:line="276" w:lineRule="auto"/>
              <w:rPr>
                <w:rFonts w:cs="Arial"/>
                <w:sz w:val="24"/>
                <w:szCs w:val="24"/>
              </w:rPr>
            </w:pPr>
          </w:p>
        </w:tc>
      </w:tr>
      <w:tr w:rsidR="00BD6CFD" w:rsidRPr="00602009" w14:paraId="61D6B1ED" w14:textId="77777777" w:rsidTr="005B039F">
        <w:tc>
          <w:tcPr>
            <w:tcW w:w="1658" w:type="dxa"/>
          </w:tcPr>
          <w:p w14:paraId="3F06BDE1" w14:textId="1E9B2545" w:rsidR="00BD6CFD" w:rsidRPr="00602009" w:rsidRDefault="00BD6CFD" w:rsidP="00115F4B">
            <w:pPr>
              <w:rPr>
                <w:rStyle w:val="Strong"/>
                <w:rFonts w:cs="Arial"/>
                <w:b w:val="0"/>
                <w:bCs w:val="0"/>
              </w:rPr>
            </w:pPr>
            <w:r w:rsidRPr="00602009">
              <w:rPr>
                <w:rStyle w:val="Strong"/>
                <w:rFonts w:cs="Arial"/>
                <w:b w:val="0"/>
                <w:bCs w:val="0"/>
              </w:rPr>
              <w:t>Citizens Budget</w:t>
            </w:r>
          </w:p>
        </w:tc>
        <w:tc>
          <w:tcPr>
            <w:tcW w:w="2446" w:type="dxa"/>
          </w:tcPr>
          <w:p w14:paraId="00AF3C61"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A simpler and less technical version of the Executive’s Budget Proposal or the Enacted Budget, designed to convey key information to the public.</w:t>
            </w:r>
          </w:p>
          <w:p w14:paraId="5DAC0E55" w14:textId="77777777" w:rsidR="00BD6CFD" w:rsidRPr="00602009" w:rsidRDefault="00BD6CFD" w:rsidP="00115F4B">
            <w:pPr>
              <w:pStyle w:val="TableNormal1"/>
              <w:spacing w:before="240" w:after="240" w:line="276" w:lineRule="auto"/>
              <w:rPr>
                <w:rFonts w:cs="Arial"/>
                <w:sz w:val="24"/>
                <w:szCs w:val="24"/>
              </w:rPr>
            </w:pPr>
          </w:p>
        </w:tc>
        <w:tc>
          <w:tcPr>
            <w:tcW w:w="2979" w:type="dxa"/>
          </w:tcPr>
          <w:p w14:paraId="2CAEBC75"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To be of most use there should either be multiple citizens budget documents throughout the budget process or at the least alongside the draft budget to enable informed public engagement. Such publications should include links to how to engage with the budget process at different stages.</w:t>
            </w:r>
          </w:p>
        </w:tc>
        <w:tc>
          <w:tcPr>
            <w:tcW w:w="1134" w:type="dxa"/>
          </w:tcPr>
          <w:p w14:paraId="468090D2" w14:textId="06A21938"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0</w:t>
            </w:r>
          </w:p>
        </w:tc>
        <w:tc>
          <w:tcPr>
            <w:tcW w:w="1353" w:type="dxa"/>
          </w:tcPr>
          <w:p w14:paraId="4D40AA98" w14:textId="73430E6D"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40</w:t>
            </w:r>
          </w:p>
          <w:p w14:paraId="44DD6F0C" w14:textId="77777777" w:rsidR="00BD6CFD" w:rsidRPr="00602009" w:rsidRDefault="00BD6CFD" w:rsidP="00115F4B">
            <w:pPr>
              <w:pStyle w:val="TableNormal1"/>
              <w:spacing w:before="240" w:after="240" w:line="276" w:lineRule="auto"/>
              <w:rPr>
                <w:rStyle w:val="Strong"/>
                <w:rFonts w:cs="Arial"/>
                <w:b w:val="0"/>
                <w:bCs w:val="0"/>
              </w:rPr>
            </w:pPr>
          </w:p>
          <w:p w14:paraId="7DF9F36D" w14:textId="77777777" w:rsidR="00BD6CFD" w:rsidRPr="00602009" w:rsidRDefault="00BD6CFD" w:rsidP="00115F4B">
            <w:pPr>
              <w:pStyle w:val="TableNormal1"/>
              <w:spacing w:before="240" w:after="240" w:line="276" w:lineRule="auto"/>
              <w:rPr>
                <w:rStyle w:val="Strong"/>
                <w:rFonts w:cs="Arial"/>
                <w:b w:val="0"/>
                <w:bCs w:val="0"/>
              </w:rPr>
            </w:pPr>
          </w:p>
        </w:tc>
        <w:tc>
          <w:tcPr>
            <w:tcW w:w="1057" w:type="dxa"/>
          </w:tcPr>
          <w:p w14:paraId="78FC9527" w14:textId="12F42D97" w:rsidR="00BD6CFD" w:rsidRPr="00602009" w:rsidRDefault="00602009" w:rsidP="00115F4B">
            <w:pPr>
              <w:pStyle w:val="TableNormal1"/>
              <w:spacing w:before="240" w:after="240" w:line="276" w:lineRule="auto"/>
              <w:rPr>
                <w:rFonts w:cs="Arial"/>
                <w:sz w:val="24"/>
                <w:szCs w:val="24"/>
              </w:rPr>
            </w:pPr>
            <w:r w:rsidRPr="00602009">
              <w:rPr>
                <w:rFonts w:cs="Arial"/>
                <w:noProof/>
                <w:sz w:val="24"/>
                <w:szCs w:val="24"/>
              </w:rPr>
              <w:t>Increase</w:t>
            </w:r>
          </w:p>
          <w:p w14:paraId="0CF3036A" w14:textId="77777777" w:rsidR="00BD6CFD" w:rsidRPr="00602009" w:rsidRDefault="00BD6CFD" w:rsidP="00115F4B">
            <w:pPr>
              <w:pStyle w:val="TableNormal1"/>
              <w:spacing w:before="240" w:after="240" w:line="276" w:lineRule="auto"/>
              <w:rPr>
                <w:rFonts w:cs="Arial"/>
                <w:sz w:val="24"/>
                <w:szCs w:val="24"/>
              </w:rPr>
            </w:pPr>
          </w:p>
        </w:tc>
      </w:tr>
      <w:tr w:rsidR="00BD6CFD" w:rsidRPr="00602009" w14:paraId="71252319" w14:textId="77777777" w:rsidTr="005B039F">
        <w:tc>
          <w:tcPr>
            <w:tcW w:w="1658" w:type="dxa"/>
          </w:tcPr>
          <w:p w14:paraId="0474C8B0" w14:textId="77777777" w:rsidR="00BD6CFD" w:rsidRPr="00602009" w:rsidRDefault="00BD6CFD" w:rsidP="00115F4B">
            <w:pPr>
              <w:rPr>
                <w:rStyle w:val="Strong"/>
                <w:rFonts w:cs="Arial"/>
                <w:b w:val="0"/>
                <w:bCs w:val="0"/>
              </w:rPr>
            </w:pPr>
            <w:r w:rsidRPr="00602009">
              <w:rPr>
                <w:rStyle w:val="Strong"/>
                <w:rFonts w:cs="Arial"/>
                <w:b w:val="0"/>
                <w:bCs w:val="0"/>
              </w:rPr>
              <w:lastRenderedPageBreak/>
              <w:t>In-Year  Reports</w:t>
            </w:r>
          </w:p>
        </w:tc>
        <w:tc>
          <w:tcPr>
            <w:tcW w:w="2446" w:type="dxa"/>
          </w:tcPr>
          <w:p w14:paraId="0F43B785"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Include information on actual revenues collected, actual expenditures made, and debt incurred at different intervals; issued quarterly or monthly.</w:t>
            </w:r>
          </w:p>
          <w:p w14:paraId="33E429E8" w14:textId="77777777" w:rsidR="00BD6CFD" w:rsidRPr="00602009" w:rsidRDefault="00BD6CFD" w:rsidP="00115F4B">
            <w:pPr>
              <w:pStyle w:val="TableNormal1"/>
              <w:spacing w:before="240" w:after="240" w:line="276" w:lineRule="auto"/>
              <w:rPr>
                <w:rFonts w:cs="Arial"/>
                <w:sz w:val="24"/>
                <w:szCs w:val="24"/>
              </w:rPr>
            </w:pPr>
          </w:p>
        </w:tc>
        <w:tc>
          <w:tcPr>
            <w:tcW w:w="2979" w:type="dxa"/>
          </w:tcPr>
          <w:p w14:paraId="532872C9"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 xml:space="preserve">There were </w:t>
            </w:r>
            <w:proofErr w:type="gramStart"/>
            <w:r w:rsidRPr="00602009">
              <w:rPr>
                <w:rFonts w:cs="Arial"/>
                <w:sz w:val="24"/>
                <w:szCs w:val="24"/>
              </w:rPr>
              <w:t>no</w:t>
            </w:r>
            <w:proofErr w:type="gramEnd"/>
            <w:r w:rsidRPr="00602009">
              <w:rPr>
                <w:rFonts w:cs="Arial"/>
                <w:sz w:val="24"/>
                <w:szCs w:val="24"/>
              </w:rPr>
              <w:t xml:space="preserve"> publicly available IYRs in either budget year.</w:t>
            </w:r>
          </w:p>
        </w:tc>
        <w:tc>
          <w:tcPr>
            <w:tcW w:w="1134" w:type="dxa"/>
          </w:tcPr>
          <w:p w14:paraId="51C86A20" w14:textId="15EB26E4"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0</w:t>
            </w:r>
          </w:p>
        </w:tc>
        <w:tc>
          <w:tcPr>
            <w:tcW w:w="1353" w:type="dxa"/>
          </w:tcPr>
          <w:p w14:paraId="109C370D" w14:textId="14A678E0"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0</w:t>
            </w:r>
          </w:p>
          <w:p w14:paraId="53F8B700" w14:textId="77777777" w:rsidR="00BD6CFD" w:rsidRPr="00602009" w:rsidRDefault="00BD6CFD" w:rsidP="00115F4B">
            <w:pPr>
              <w:pStyle w:val="TableNormal1"/>
              <w:spacing w:before="240" w:after="240" w:line="276" w:lineRule="auto"/>
              <w:rPr>
                <w:rStyle w:val="Strong"/>
                <w:rFonts w:cs="Arial"/>
                <w:b w:val="0"/>
                <w:bCs w:val="0"/>
              </w:rPr>
            </w:pPr>
          </w:p>
        </w:tc>
        <w:tc>
          <w:tcPr>
            <w:tcW w:w="1057" w:type="dxa"/>
          </w:tcPr>
          <w:p w14:paraId="07916D92" w14:textId="1A2A2189" w:rsidR="00BD6CFD" w:rsidRPr="00602009" w:rsidRDefault="00602009" w:rsidP="00115F4B">
            <w:pPr>
              <w:pStyle w:val="TableNormal1"/>
              <w:spacing w:before="240" w:after="240" w:line="276" w:lineRule="auto"/>
              <w:rPr>
                <w:rFonts w:cs="Arial"/>
                <w:sz w:val="24"/>
                <w:szCs w:val="24"/>
              </w:rPr>
            </w:pPr>
            <w:r w:rsidRPr="00602009">
              <w:rPr>
                <w:rFonts w:cs="Arial"/>
                <w:noProof/>
                <w:sz w:val="24"/>
                <w:szCs w:val="24"/>
              </w:rPr>
              <w:t>No change</w:t>
            </w:r>
          </w:p>
        </w:tc>
      </w:tr>
      <w:tr w:rsidR="00BD6CFD" w:rsidRPr="00602009" w14:paraId="69B01F0B" w14:textId="77777777" w:rsidTr="005B039F">
        <w:tc>
          <w:tcPr>
            <w:tcW w:w="1658" w:type="dxa"/>
          </w:tcPr>
          <w:p w14:paraId="38C0649A" w14:textId="77777777" w:rsidR="00BD6CFD" w:rsidRPr="00602009" w:rsidRDefault="00BD6CFD" w:rsidP="00115F4B">
            <w:pPr>
              <w:rPr>
                <w:rStyle w:val="Strong"/>
                <w:rFonts w:cs="Arial"/>
                <w:b w:val="0"/>
                <w:bCs w:val="0"/>
              </w:rPr>
            </w:pPr>
            <w:r w:rsidRPr="00602009">
              <w:rPr>
                <w:rStyle w:val="Strong"/>
                <w:rFonts w:cs="Arial"/>
                <w:b w:val="0"/>
                <w:bCs w:val="0"/>
              </w:rPr>
              <w:t>Mid-Year Review</w:t>
            </w:r>
          </w:p>
        </w:tc>
        <w:tc>
          <w:tcPr>
            <w:tcW w:w="2446" w:type="dxa"/>
          </w:tcPr>
          <w:p w14:paraId="47E03EC9"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A comprehensive update on the implementation of the budget as of the middle of the fiscal year; includes a review of economic assumptions and an updated forecast of budget outcomes.</w:t>
            </w:r>
          </w:p>
          <w:p w14:paraId="00D592DE" w14:textId="77777777" w:rsidR="00BD6CFD" w:rsidRPr="00602009" w:rsidRDefault="00BD6CFD" w:rsidP="00115F4B">
            <w:pPr>
              <w:pStyle w:val="TableNormal1"/>
              <w:spacing w:before="240" w:after="240" w:line="276" w:lineRule="auto"/>
              <w:rPr>
                <w:rFonts w:cs="Arial"/>
                <w:sz w:val="24"/>
                <w:szCs w:val="24"/>
              </w:rPr>
            </w:pPr>
          </w:p>
        </w:tc>
        <w:tc>
          <w:tcPr>
            <w:tcW w:w="2979" w:type="dxa"/>
          </w:tcPr>
          <w:p w14:paraId="1C700D11"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 xml:space="preserve">In 2017/2018 nothing that constituted a mid-year review was available – available documentation for 2021/22 represented a significant improvement. </w:t>
            </w:r>
          </w:p>
        </w:tc>
        <w:tc>
          <w:tcPr>
            <w:tcW w:w="1134" w:type="dxa"/>
          </w:tcPr>
          <w:p w14:paraId="11B2046B" w14:textId="574E7432"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0</w:t>
            </w:r>
          </w:p>
        </w:tc>
        <w:tc>
          <w:tcPr>
            <w:tcW w:w="1353" w:type="dxa"/>
          </w:tcPr>
          <w:p w14:paraId="75604789" w14:textId="31F4DAD9"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70</w:t>
            </w:r>
          </w:p>
          <w:p w14:paraId="09A53FFB" w14:textId="77777777" w:rsidR="00BD6CFD" w:rsidRPr="00602009" w:rsidRDefault="00BD6CFD" w:rsidP="00115F4B">
            <w:pPr>
              <w:pStyle w:val="TableNormal1"/>
              <w:spacing w:before="240" w:after="240" w:line="276" w:lineRule="auto"/>
              <w:rPr>
                <w:rStyle w:val="Strong"/>
                <w:rFonts w:cs="Arial"/>
                <w:b w:val="0"/>
                <w:bCs w:val="0"/>
              </w:rPr>
            </w:pPr>
          </w:p>
          <w:p w14:paraId="23943CF4" w14:textId="77777777" w:rsidR="00BD6CFD" w:rsidRPr="00602009" w:rsidRDefault="00BD6CFD" w:rsidP="00115F4B">
            <w:pPr>
              <w:pStyle w:val="TableNormal1"/>
              <w:spacing w:before="240" w:after="240" w:line="276" w:lineRule="auto"/>
              <w:rPr>
                <w:rStyle w:val="Strong"/>
                <w:rFonts w:cs="Arial"/>
                <w:b w:val="0"/>
                <w:bCs w:val="0"/>
              </w:rPr>
            </w:pPr>
          </w:p>
        </w:tc>
        <w:tc>
          <w:tcPr>
            <w:tcW w:w="1057" w:type="dxa"/>
          </w:tcPr>
          <w:p w14:paraId="08F31C09" w14:textId="681A3DE2" w:rsidR="00BD6CFD" w:rsidRPr="00602009" w:rsidRDefault="00602009" w:rsidP="00115F4B">
            <w:pPr>
              <w:pStyle w:val="TableNormal1"/>
              <w:spacing w:before="240" w:after="240" w:line="276" w:lineRule="auto"/>
              <w:rPr>
                <w:rFonts w:cs="Arial"/>
                <w:sz w:val="24"/>
                <w:szCs w:val="24"/>
              </w:rPr>
            </w:pPr>
            <w:r w:rsidRPr="00602009">
              <w:rPr>
                <w:rFonts w:cs="Arial"/>
                <w:noProof/>
                <w:sz w:val="24"/>
                <w:szCs w:val="24"/>
              </w:rPr>
              <w:t>Increase</w:t>
            </w:r>
          </w:p>
          <w:p w14:paraId="71872C01" w14:textId="77777777" w:rsidR="00BD6CFD" w:rsidRPr="00602009" w:rsidRDefault="00BD6CFD" w:rsidP="00115F4B">
            <w:pPr>
              <w:pStyle w:val="TableNormal1"/>
              <w:spacing w:before="240" w:after="240" w:line="276" w:lineRule="auto"/>
              <w:rPr>
                <w:rFonts w:cs="Arial"/>
                <w:sz w:val="24"/>
                <w:szCs w:val="24"/>
              </w:rPr>
            </w:pPr>
          </w:p>
        </w:tc>
      </w:tr>
      <w:tr w:rsidR="00BD6CFD" w:rsidRPr="00602009" w14:paraId="56ECD3E7" w14:textId="77777777" w:rsidTr="005B039F">
        <w:tc>
          <w:tcPr>
            <w:tcW w:w="1658" w:type="dxa"/>
          </w:tcPr>
          <w:p w14:paraId="24A3CC6E" w14:textId="77777777" w:rsidR="00BD6CFD" w:rsidRPr="00602009" w:rsidRDefault="00BD6CFD" w:rsidP="00115F4B">
            <w:pPr>
              <w:rPr>
                <w:rStyle w:val="Strong"/>
                <w:rFonts w:cs="Arial"/>
                <w:b w:val="0"/>
                <w:bCs w:val="0"/>
              </w:rPr>
            </w:pPr>
            <w:r w:rsidRPr="00602009">
              <w:rPr>
                <w:rStyle w:val="Strong"/>
                <w:rFonts w:cs="Arial"/>
                <w:b w:val="0"/>
                <w:bCs w:val="0"/>
              </w:rPr>
              <w:t>Year-End Report</w:t>
            </w:r>
          </w:p>
        </w:tc>
        <w:tc>
          <w:tcPr>
            <w:tcW w:w="2446" w:type="dxa"/>
          </w:tcPr>
          <w:p w14:paraId="3AE64CDC"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Describes the situation of the government's accounts at the end of the fiscal year and, ideally, an evaluation of the progress made toward achieving the budget's policy goals.</w:t>
            </w:r>
          </w:p>
          <w:p w14:paraId="301F76E7" w14:textId="77777777" w:rsidR="00BD6CFD" w:rsidRPr="00602009" w:rsidRDefault="00BD6CFD" w:rsidP="00115F4B">
            <w:pPr>
              <w:pStyle w:val="TableNormal1"/>
              <w:spacing w:before="240" w:after="240" w:line="276" w:lineRule="auto"/>
              <w:rPr>
                <w:rFonts w:cs="Arial"/>
                <w:sz w:val="24"/>
                <w:szCs w:val="24"/>
              </w:rPr>
            </w:pPr>
          </w:p>
        </w:tc>
        <w:tc>
          <w:tcPr>
            <w:tcW w:w="2979" w:type="dxa"/>
          </w:tcPr>
          <w:p w14:paraId="422153BC"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More detail was available for the latest survey – however, further information on expenditure and outcomes outside of social security would be useful and further improve this score.</w:t>
            </w:r>
          </w:p>
        </w:tc>
        <w:tc>
          <w:tcPr>
            <w:tcW w:w="1134" w:type="dxa"/>
          </w:tcPr>
          <w:p w14:paraId="139628A5" w14:textId="070143A6"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39</w:t>
            </w:r>
          </w:p>
        </w:tc>
        <w:tc>
          <w:tcPr>
            <w:tcW w:w="1353" w:type="dxa"/>
          </w:tcPr>
          <w:p w14:paraId="02A1F126" w14:textId="1E10972C" w:rsidR="00BD6CFD" w:rsidRPr="00602009" w:rsidRDefault="0033343E" w:rsidP="00115F4B">
            <w:pPr>
              <w:pStyle w:val="TableNormal1"/>
              <w:spacing w:before="240" w:after="240" w:line="276" w:lineRule="auto"/>
              <w:rPr>
                <w:rStyle w:val="Strong"/>
                <w:rFonts w:cs="Arial"/>
                <w:b w:val="0"/>
                <w:bCs w:val="0"/>
              </w:rPr>
            </w:pPr>
            <w:r w:rsidRPr="00602009">
              <w:rPr>
                <w:rStyle w:val="Strong"/>
                <w:rFonts w:cs="Arial"/>
                <w:b w:val="0"/>
                <w:bCs w:val="0"/>
              </w:rPr>
              <w:t>7</w:t>
            </w:r>
            <w:r w:rsidR="00BD6CFD" w:rsidRPr="00602009">
              <w:rPr>
                <w:rStyle w:val="Strong"/>
                <w:rFonts w:cs="Arial"/>
                <w:b w:val="0"/>
                <w:bCs w:val="0"/>
              </w:rPr>
              <w:t>4</w:t>
            </w:r>
          </w:p>
          <w:p w14:paraId="19AD02EB" w14:textId="77777777" w:rsidR="00BD6CFD" w:rsidRPr="00602009" w:rsidRDefault="00BD6CFD" w:rsidP="00115F4B">
            <w:pPr>
              <w:pStyle w:val="TableNormal1"/>
              <w:spacing w:before="240" w:after="240" w:line="276" w:lineRule="auto"/>
              <w:rPr>
                <w:rStyle w:val="Strong"/>
                <w:rFonts w:cs="Arial"/>
                <w:b w:val="0"/>
                <w:bCs w:val="0"/>
              </w:rPr>
            </w:pPr>
          </w:p>
          <w:p w14:paraId="1D55A91F" w14:textId="77777777" w:rsidR="00BD6CFD" w:rsidRPr="00602009" w:rsidRDefault="00BD6CFD" w:rsidP="00115F4B">
            <w:pPr>
              <w:pStyle w:val="TableNormal1"/>
              <w:spacing w:before="240" w:after="240" w:line="276" w:lineRule="auto"/>
              <w:rPr>
                <w:rStyle w:val="Strong"/>
                <w:rFonts w:cs="Arial"/>
                <w:b w:val="0"/>
                <w:bCs w:val="0"/>
              </w:rPr>
            </w:pPr>
          </w:p>
        </w:tc>
        <w:tc>
          <w:tcPr>
            <w:tcW w:w="1057" w:type="dxa"/>
          </w:tcPr>
          <w:p w14:paraId="7A45DA22" w14:textId="70E166E7" w:rsidR="00BD6CFD" w:rsidRPr="00602009" w:rsidRDefault="00602009" w:rsidP="00115F4B">
            <w:pPr>
              <w:rPr>
                <w:rFonts w:cs="Arial"/>
                <w:color w:val="0B1C32"/>
                <w:sz w:val="24"/>
                <w:szCs w:val="24"/>
              </w:rPr>
            </w:pPr>
            <w:r w:rsidRPr="00602009">
              <w:rPr>
                <w:rFonts w:cs="Arial"/>
                <w:noProof/>
                <w:color w:val="0B1C32"/>
                <w:sz w:val="24"/>
                <w:szCs w:val="24"/>
              </w:rPr>
              <w:t>Increase</w:t>
            </w:r>
          </w:p>
          <w:p w14:paraId="64CE3C51" w14:textId="77777777" w:rsidR="00BD6CFD" w:rsidRPr="00602009" w:rsidRDefault="00BD6CFD" w:rsidP="00115F4B">
            <w:pPr>
              <w:rPr>
                <w:rFonts w:cs="Arial"/>
                <w:b/>
                <w:bCs/>
                <w:color w:val="0B1C32"/>
                <w:sz w:val="24"/>
                <w:szCs w:val="24"/>
              </w:rPr>
            </w:pPr>
          </w:p>
        </w:tc>
      </w:tr>
      <w:tr w:rsidR="00BD6CFD" w:rsidRPr="00602009" w14:paraId="56CECF8A" w14:textId="77777777" w:rsidTr="005B039F">
        <w:tc>
          <w:tcPr>
            <w:tcW w:w="1658" w:type="dxa"/>
          </w:tcPr>
          <w:p w14:paraId="568A3502" w14:textId="643BB84E" w:rsidR="00BD6CFD" w:rsidRPr="00602009" w:rsidRDefault="00BD6CFD" w:rsidP="00115F4B">
            <w:pPr>
              <w:rPr>
                <w:rStyle w:val="Strong"/>
                <w:rFonts w:cs="Arial"/>
                <w:b w:val="0"/>
                <w:bCs w:val="0"/>
              </w:rPr>
            </w:pPr>
            <w:r w:rsidRPr="00602009">
              <w:rPr>
                <w:rStyle w:val="Strong"/>
                <w:rFonts w:cs="Arial"/>
                <w:b w:val="0"/>
                <w:bCs w:val="0"/>
              </w:rPr>
              <w:lastRenderedPageBreak/>
              <w:t>Audit  Report</w:t>
            </w:r>
          </w:p>
        </w:tc>
        <w:tc>
          <w:tcPr>
            <w:tcW w:w="2446" w:type="dxa"/>
          </w:tcPr>
          <w:p w14:paraId="0F2083BE"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Issued by the supreme audit institution, this document examines the soundness and completeness of the government's year-end accounts.</w:t>
            </w:r>
          </w:p>
        </w:tc>
        <w:tc>
          <w:tcPr>
            <w:tcW w:w="2979" w:type="dxa"/>
          </w:tcPr>
          <w:p w14:paraId="6D6AC6B8"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 xml:space="preserve">Missing reports on the following: </w:t>
            </w:r>
          </w:p>
          <w:p w14:paraId="3456719D"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steps the Executive made to address issues raised by the audit, recommendations or findings that indicate a need for remedial action, Supreme Audit Institution (SAI) or legislature release to the public a report that tracks actions taken by the Executive to address audit recommendations,</w:t>
            </w:r>
          </w:p>
          <w:p w14:paraId="735155BF" w14:textId="77777777" w:rsidR="00BD6CFD" w:rsidRPr="00602009" w:rsidRDefault="00BD6CFD" w:rsidP="00115F4B">
            <w:pPr>
              <w:pStyle w:val="TableNormal1"/>
              <w:spacing w:before="240" w:after="240" w:line="276" w:lineRule="auto"/>
              <w:rPr>
                <w:rFonts w:cs="Arial"/>
                <w:sz w:val="24"/>
                <w:szCs w:val="24"/>
              </w:rPr>
            </w:pPr>
            <w:r w:rsidRPr="00602009">
              <w:rPr>
                <w:rFonts w:cs="Arial"/>
                <w:sz w:val="24"/>
                <w:szCs w:val="24"/>
              </w:rPr>
              <w:t>If/how committees reviewed spending relevant to them or in-year budget progress.</w:t>
            </w:r>
          </w:p>
        </w:tc>
        <w:tc>
          <w:tcPr>
            <w:tcW w:w="1134" w:type="dxa"/>
          </w:tcPr>
          <w:p w14:paraId="125365B1" w14:textId="6D1FDC36"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81</w:t>
            </w:r>
          </w:p>
        </w:tc>
        <w:tc>
          <w:tcPr>
            <w:tcW w:w="1353" w:type="dxa"/>
          </w:tcPr>
          <w:p w14:paraId="247100F5" w14:textId="78549378" w:rsidR="00BD6CFD" w:rsidRPr="00602009" w:rsidRDefault="00BD6CFD" w:rsidP="00115F4B">
            <w:pPr>
              <w:pStyle w:val="TableNormal1"/>
              <w:spacing w:before="240" w:after="240" w:line="276" w:lineRule="auto"/>
              <w:rPr>
                <w:rStyle w:val="Strong"/>
                <w:rFonts w:cs="Arial"/>
                <w:b w:val="0"/>
                <w:bCs w:val="0"/>
              </w:rPr>
            </w:pPr>
            <w:r w:rsidRPr="00602009">
              <w:rPr>
                <w:rStyle w:val="Strong"/>
                <w:rFonts w:cs="Arial"/>
                <w:b w:val="0"/>
                <w:bCs w:val="0"/>
              </w:rPr>
              <w:t>76</w:t>
            </w:r>
          </w:p>
          <w:p w14:paraId="1E3E7FB0" w14:textId="77777777" w:rsidR="00BD6CFD" w:rsidRPr="00602009" w:rsidRDefault="00BD6CFD" w:rsidP="00115F4B">
            <w:pPr>
              <w:pStyle w:val="TableNormal1"/>
              <w:spacing w:before="240" w:after="240" w:line="276" w:lineRule="auto"/>
              <w:rPr>
                <w:rStyle w:val="Strong"/>
                <w:rFonts w:cs="Arial"/>
                <w:b w:val="0"/>
                <w:bCs w:val="0"/>
              </w:rPr>
            </w:pPr>
          </w:p>
          <w:p w14:paraId="5EB53DC1" w14:textId="77777777" w:rsidR="00BD6CFD" w:rsidRPr="00602009" w:rsidRDefault="00BD6CFD" w:rsidP="00115F4B">
            <w:pPr>
              <w:pStyle w:val="TableNormal1"/>
              <w:spacing w:before="240" w:after="240" w:line="276" w:lineRule="auto"/>
              <w:rPr>
                <w:rStyle w:val="Strong"/>
                <w:rFonts w:cs="Arial"/>
                <w:b w:val="0"/>
                <w:bCs w:val="0"/>
              </w:rPr>
            </w:pPr>
          </w:p>
        </w:tc>
        <w:tc>
          <w:tcPr>
            <w:tcW w:w="1057" w:type="dxa"/>
          </w:tcPr>
          <w:p w14:paraId="5D531162" w14:textId="730B19B0" w:rsidR="00BD6CFD" w:rsidRPr="00602009" w:rsidRDefault="00602009" w:rsidP="00115F4B">
            <w:pPr>
              <w:rPr>
                <w:rFonts w:cs="Arial"/>
                <w:color w:val="0B1C32"/>
                <w:sz w:val="24"/>
                <w:szCs w:val="24"/>
              </w:rPr>
            </w:pPr>
            <w:r w:rsidRPr="00602009">
              <w:rPr>
                <w:rFonts w:cs="Arial"/>
                <w:color w:val="0B1C32"/>
                <w:sz w:val="24"/>
                <w:szCs w:val="24"/>
              </w:rPr>
              <w:t>Decrease</w:t>
            </w:r>
          </w:p>
        </w:tc>
      </w:tr>
    </w:tbl>
    <w:p w14:paraId="56901E0C" w14:textId="77777777" w:rsidR="00BD6CFD" w:rsidRPr="00602009" w:rsidRDefault="00BD6CFD" w:rsidP="007F17DE">
      <w:pPr>
        <w:rPr>
          <w:rFonts w:cs="Arial"/>
          <w:sz w:val="24"/>
          <w:szCs w:val="24"/>
        </w:rPr>
      </w:pPr>
      <w:r w:rsidRPr="00602009">
        <w:rPr>
          <w:rFonts w:cs="Arial"/>
          <w:sz w:val="24"/>
          <w:szCs w:val="24"/>
        </w:rPr>
        <w:br w:type="textWrapping" w:clear="all"/>
      </w:r>
      <w:bookmarkStart w:id="27" w:name="_Toc167112879"/>
    </w:p>
    <w:p w14:paraId="5E99ECB1" w14:textId="77777777" w:rsidR="00BD6CFD" w:rsidRDefault="00BD6CFD" w:rsidP="007F17DE">
      <w:r>
        <w:br w:type="page"/>
      </w:r>
    </w:p>
    <w:p w14:paraId="06481536" w14:textId="4FD539FD" w:rsidR="00454BC3" w:rsidRDefault="00B8034B" w:rsidP="007F17DE">
      <w:r>
        <w:lastRenderedPageBreak/>
        <w:t xml:space="preserve">Table </w:t>
      </w:r>
      <w:r w:rsidR="00DB4D8C">
        <w:t xml:space="preserve">7 </w:t>
      </w:r>
      <w:r w:rsidR="00454BC3">
        <w:t xml:space="preserve">- </w:t>
      </w:r>
      <w:r>
        <w:t xml:space="preserve">Scotland’s OBS </w:t>
      </w:r>
      <w:r w:rsidR="00454BC3" w:rsidRPr="00BF3380">
        <w:t xml:space="preserve">Transparency </w:t>
      </w:r>
      <w:r>
        <w:t>scores</w:t>
      </w:r>
      <w:r w:rsidR="00454BC3" w:rsidRPr="00BF3380">
        <w:t xml:space="preserve"> compared to others</w:t>
      </w:r>
      <w:bookmarkEnd w:id="27"/>
      <w:r>
        <w:t>.</w:t>
      </w:r>
    </w:p>
    <w:tbl>
      <w:tblPr>
        <w:tblStyle w:val="TableGrid"/>
        <w:tblW w:w="0" w:type="auto"/>
        <w:tblLook w:val="04A0" w:firstRow="1" w:lastRow="0" w:firstColumn="1" w:lastColumn="0" w:noHBand="0" w:noVBand="1"/>
        <w:tblCaption w:val="Scotland’s OBS Transparency scores compared to others."/>
      </w:tblPr>
      <w:tblGrid>
        <w:gridCol w:w="3107"/>
        <w:gridCol w:w="3108"/>
        <w:gridCol w:w="3108"/>
      </w:tblGrid>
      <w:tr w:rsidR="00B8034B" w:rsidRPr="009A24BC" w14:paraId="65576196" w14:textId="77777777" w:rsidTr="00E50E3E">
        <w:trPr>
          <w:cantSplit/>
          <w:tblHeader/>
        </w:trPr>
        <w:tc>
          <w:tcPr>
            <w:tcW w:w="3107" w:type="dxa"/>
            <w:shd w:val="clear" w:color="auto" w:fill="8BADDC"/>
          </w:tcPr>
          <w:p w14:paraId="179FA1F2" w14:textId="77777777" w:rsidR="00B8034B" w:rsidRPr="009A24BC" w:rsidRDefault="00B8034B" w:rsidP="00E50E3E">
            <w:pPr>
              <w:spacing w:before="0" w:after="0" w:line="360" w:lineRule="auto"/>
              <w:rPr>
                <w:b/>
                <w:bCs/>
              </w:rPr>
            </w:pPr>
            <w:r w:rsidRPr="009A24BC">
              <w:rPr>
                <w:b/>
                <w:bCs/>
              </w:rPr>
              <w:t>Country</w:t>
            </w:r>
          </w:p>
        </w:tc>
        <w:tc>
          <w:tcPr>
            <w:tcW w:w="3108" w:type="dxa"/>
            <w:shd w:val="clear" w:color="auto" w:fill="8BADDC"/>
          </w:tcPr>
          <w:p w14:paraId="62148612" w14:textId="77777777" w:rsidR="00B8034B" w:rsidRPr="009A24BC" w:rsidRDefault="00B8034B" w:rsidP="00E50E3E">
            <w:pPr>
              <w:spacing w:before="0" w:after="0" w:line="360" w:lineRule="auto"/>
              <w:rPr>
                <w:b/>
                <w:bCs/>
              </w:rPr>
            </w:pPr>
            <w:r w:rsidRPr="009A24BC">
              <w:rPr>
                <w:b/>
                <w:bCs/>
              </w:rPr>
              <w:t>2019</w:t>
            </w:r>
          </w:p>
        </w:tc>
        <w:tc>
          <w:tcPr>
            <w:tcW w:w="3108" w:type="dxa"/>
            <w:shd w:val="clear" w:color="auto" w:fill="8BADDC"/>
          </w:tcPr>
          <w:p w14:paraId="4868537B" w14:textId="77777777" w:rsidR="00B8034B" w:rsidRPr="009A24BC" w:rsidRDefault="00B8034B" w:rsidP="00E50E3E">
            <w:pPr>
              <w:spacing w:before="0" w:after="0" w:line="360" w:lineRule="auto"/>
              <w:rPr>
                <w:b/>
                <w:bCs/>
              </w:rPr>
            </w:pPr>
            <w:r w:rsidRPr="009A24BC">
              <w:rPr>
                <w:b/>
                <w:bCs/>
              </w:rPr>
              <w:t>2023</w:t>
            </w:r>
          </w:p>
        </w:tc>
      </w:tr>
      <w:tr w:rsidR="00B8034B" w14:paraId="7D78CA76" w14:textId="77777777" w:rsidTr="00E50E3E">
        <w:tc>
          <w:tcPr>
            <w:tcW w:w="3107" w:type="dxa"/>
          </w:tcPr>
          <w:p w14:paraId="64479167" w14:textId="7202A2DF" w:rsidR="00B8034B" w:rsidRDefault="00B8034B" w:rsidP="00E50E3E">
            <w:pPr>
              <w:spacing w:before="0" w:after="0" w:line="360" w:lineRule="auto"/>
            </w:pPr>
            <w:r>
              <w:t>Global average</w:t>
            </w:r>
          </w:p>
        </w:tc>
        <w:tc>
          <w:tcPr>
            <w:tcW w:w="3108" w:type="dxa"/>
          </w:tcPr>
          <w:p w14:paraId="28A21B6C" w14:textId="42BE4271" w:rsidR="00B8034B" w:rsidRDefault="00B8034B" w:rsidP="00E50E3E">
            <w:pPr>
              <w:spacing w:before="0" w:after="0" w:line="360" w:lineRule="auto"/>
            </w:pPr>
            <w:r>
              <w:t>45</w:t>
            </w:r>
          </w:p>
        </w:tc>
        <w:tc>
          <w:tcPr>
            <w:tcW w:w="3108" w:type="dxa"/>
          </w:tcPr>
          <w:p w14:paraId="6E02D380" w14:textId="00BDFAB9" w:rsidR="00B8034B" w:rsidRDefault="00B8034B" w:rsidP="00E50E3E">
            <w:pPr>
              <w:spacing w:before="0" w:after="0" w:line="360" w:lineRule="auto"/>
            </w:pPr>
            <w:r>
              <w:t>45</w:t>
            </w:r>
          </w:p>
        </w:tc>
      </w:tr>
      <w:tr w:rsidR="00B8034B" w14:paraId="2DCABB65" w14:textId="77777777" w:rsidTr="00E50E3E">
        <w:tc>
          <w:tcPr>
            <w:tcW w:w="3107" w:type="dxa"/>
          </w:tcPr>
          <w:p w14:paraId="1DFBFF8A" w14:textId="10AF066A" w:rsidR="00B8034B" w:rsidRDefault="00B8034B" w:rsidP="00E50E3E">
            <w:pPr>
              <w:spacing w:before="0" w:after="0" w:line="360" w:lineRule="auto"/>
            </w:pPr>
            <w:r>
              <w:t>Participating OECD Countries</w:t>
            </w:r>
          </w:p>
        </w:tc>
        <w:tc>
          <w:tcPr>
            <w:tcW w:w="3108" w:type="dxa"/>
          </w:tcPr>
          <w:p w14:paraId="67870F8C" w14:textId="7D8600BA" w:rsidR="00B8034B" w:rsidRDefault="00B8034B" w:rsidP="00E50E3E">
            <w:pPr>
              <w:spacing w:before="0" w:after="0" w:line="360" w:lineRule="auto"/>
            </w:pPr>
            <w:r>
              <w:t>71</w:t>
            </w:r>
          </w:p>
        </w:tc>
        <w:tc>
          <w:tcPr>
            <w:tcW w:w="3108" w:type="dxa"/>
          </w:tcPr>
          <w:p w14:paraId="436C5376" w14:textId="2AF0050D" w:rsidR="00B8034B" w:rsidRDefault="00B8034B" w:rsidP="00E50E3E">
            <w:pPr>
              <w:spacing w:before="0" w:after="0" w:line="360" w:lineRule="auto"/>
            </w:pPr>
            <w:r>
              <w:t>70</w:t>
            </w:r>
          </w:p>
        </w:tc>
      </w:tr>
      <w:tr w:rsidR="00B8034B" w14:paraId="62A2D207" w14:textId="77777777" w:rsidTr="00E50E3E">
        <w:tc>
          <w:tcPr>
            <w:tcW w:w="3107" w:type="dxa"/>
          </w:tcPr>
          <w:p w14:paraId="5583F040" w14:textId="08AC5931" w:rsidR="00B8034B" w:rsidRDefault="00B8034B" w:rsidP="00E50E3E">
            <w:pPr>
              <w:spacing w:before="0" w:after="0" w:line="360" w:lineRule="auto"/>
            </w:pPr>
            <w:r>
              <w:t>Spain</w:t>
            </w:r>
          </w:p>
        </w:tc>
        <w:tc>
          <w:tcPr>
            <w:tcW w:w="3108" w:type="dxa"/>
          </w:tcPr>
          <w:p w14:paraId="41A4A9EE" w14:textId="63783BCF" w:rsidR="00B8034B" w:rsidRDefault="00B8034B" w:rsidP="00E50E3E">
            <w:pPr>
              <w:spacing w:before="0" w:after="0" w:line="360" w:lineRule="auto"/>
            </w:pPr>
            <w:r>
              <w:t>53</w:t>
            </w:r>
          </w:p>
        </w:tc>
        <w:tc>
          <w:tcPr>
            <w:tcW w:w="3108" w:type="dxa"/>
          </w:tcPr>
          <w:p w14:paraId="6517F1C4" w14:textId="01BD74A3" w:rsidR="00B8034B" w:rsidRDefault="00B8034B" w:rsidP="00E50E3E">
            <w:pPr>
              <w:spacing w:before="0" w:after="0" w:line="360" w:lineRule="auto"/>
            </w:pPr>
            <w:r>
              <w:t>54</w:t>
            </w:r>
          </w:p>
        </w:tc>
      </w:tr>
      <w:tr w:rsidR="00B8034B" w14:paraId="184D05B8" w14:textId="77777777" w:rsidTr="00E50E3E">
        <w:tc>
          <w:tcPr>
            <w:tcW w:w="3107" w:type="dxa"/>
          </w:tcPr>
          <w:p w14:paraId="1B6050FA" w14:textId="17E5335E" w:rsidR="00B8034B" w:rsidRDefault="00B8034B" w:rsidP="00E50E3E">
            <w:pPr>
              <w:spacing w:before="0" w:after="0" w:line="360" w:lineRule="auto"/>
            </w:pPr>
            <w:r>
              <w:t>Scotland</w:t>
            </w:r>
          </w:p>
        </w:tc>
        <w:tc>
          <w:tcPr>
            <w:tcW w:w="3108" w:type="dxa"/>
          </w:tcPr>
          <w:p w14:paraId="590F5904" w14:textId="544F3BAF" w:rsidR="00B8034B" w:rsidRDefault="00B8034B" w:rsidP="00E50E3E">
            <w:pPr>
              <w:spacing w:before="0" w:after="0" w:line="360" w:lineRule="auto"/>
            </w:pPr>
            <w:r>
              <w:t>43</w:t>
            </w:r>
          </w:p>
        </w:tc>
        <w:tc>
          <w:tcPr>
            <w:tcW w:w="3108" w:type="dxa"/>
          </w:tcPr>
          <w:p w14:paraId="3CD6D242" w14:textId="06848EE2" w:rsidR="00B8034B" w:rsidRDefault="00B8034B" w:rsidP="00E50E3E">
            <w:pPr>
              <w:spacing w:before="0" w:after="0" w:line="360" w:lineRule="auto"/>
            </w:pPr>
            <w:r>
              <w:t>60</w:t>
            </w:r>
          </w:p>
        </w:tc>
      </w:tr>
      <w:tr w:rsidR="00B8034B" w14:paraId="366538FF" w14:textId="77777777" w:rsidTr="00E50E3E">
        <w:tc>
          <w:tcPr>
            <w:tcW w:w="3107" w:type="dxa"/>
          </w:tcPr>
          <w:p w14:paraId="5DE13238" w14:textId="6028D57C" w:rsidR="00B8034B" w:rsidRDefault="00B8034B" w:rsidP="00E50E3E">
            <w:pPr>
              <w:spacing w:before="0" w:after="0" w:line="360" w:lineRule="auto"/>
            </w:pPr>
            <w:r>
              <w:t>United Kingdom</w:t>
            </w:r>
          </w:p>
        </w:tc>
        <w:tc>
          <w:tcPr>
            <w:tcW w:w="3108" w:type="dxa"/>
          </w:tcPr>
          <w:p w14:paraId="23506809" w14:textId="07B4C5C6" w:rsidR="00B8034B" w:rsidRDefault="00B8034B" w:rsidP="00E50E3E">
            <w:pPr>
              <w:spacing w:before="0" w:after="0" w:line="360" w:lineRule="auto"/>
            </w:pPr>
            <w:r>
              <w:t>70</w:t>
            </w:r>
          </w:p>
        </w:tc>
        <w:tc>
          <w:tcPr>
            <w:tcW w:w="3108" w:type="dxa"/>
          </w:tcPr>
          <w:p w14:paraId="5EB3E501" w14:textId="5AF126E0" w:rsidR="00B8034B" w:rsidRDefault="00B8034B" w:rsidP="00E50E3E">
            <w:pPr>
              <w:spacing w:before="0" w:after="0" w:line="360" w:lineRule="auto"/>
            </w:pPr>
            <w:r>
              <w:t>62</w:t>
            </w:r>
          </w:p>
        </w:tc>
      </w:tr>
      <w:tr w:rsidR="00B8034B" w14:paraId="1194E488" w14:textId="77777777" w:rsidTr="00E50E3E">
        <w:tc>
          <w:tcPr>
            <w:tcW w:w="3107" w:type="dxa"/>
          </w:tcPr>
          <w:p w14:paraId="64485C1C" w14:textId="4AC3C8A7" w:rsidR="00B8034B" w:rsidRDefault="00B8034B" w:rsidP="00E50E3E">
            <w:pPr>
              <w:spacing w:before="0" w:after="0" w:line="360" w:lineRule="auto"/>
            </w:pPr>
            <w:r>
              <w:t>Portugal</w:t>
            </w:r>
          </w:p>
        </w:tc>
        <w:tc>
          <w:tcPr>
            <w:tcW w:w="3108" w:type="dxa"/>
          </w:tcPr>
          <w:p w14:paraId="47029755" w14:textId="34D89B4C" w:rsidR="00B8034B" w:rsidRDefault="00B8034B" w:rsidP="00E50E3E">
            <w:pPr>
              <w:spacing w:before="0" w:after="0" w:line="360" w:lineRule="auto"/>
            </w:pPr>
            <w:r>
              <w:t>66</w:t>
            </w:r>
          </w:p>
        </w:tc>
        <w:tc>
          <w:tcPr>
            <w:tcW w:w="3108" w:type="dxa"/>
          </w:tcPr>
          <w:p w14:paraId="497466B4" w14:textId="315E8CE8" w:rsidR="00B8034B" w:rsidRDefault="00B8034B" w:rsidP="00E50E3E">
            <w:pPr>
              <w:spacing w:before="0" w:after="0" w:line="360" w:lineRule="auto"/>
            </w:pPr>
            <w:r>
              <w:t>62</w:t>
            </w:r>
          </w:p>
        </w:tc>
      </w:tr>
      <w:tr w:rsidR="00B8034B" w14:paraId="5203F11A" w14:textId="77777777" w:rsidTr="00E50E3E">
        <w:tc>
          <w:tcPr>
            <w:tcW w:w="3107" w:type="dxa"/>
          </w:tcPr>
          <w:p w14:paraId="180FE06B" w14:textId="0BD80F0A" w:rsidR="00B8034B" w:rsidRDefault="00B8034B" w:rsidP="00E50E3E">
            <w:pPr>
              <w:spacing w:before="0" w:after="0" w:line="360" w:lineRule="auto"/>
            </w:pPr>
            <w:r>
              <w:t>United States</w:t>
            </w:r>
          </w:p>
        </w:tc>
        <w:tc>
          <w:tcPr>
            <w:tcW w:w="3108" w:type="dxa"/>
          </w:tcPr>
          <w:p w14:paraId="34212663" w14:textId="0242982B" w:rsidR="00B8034B" w:rsidRDefault="00B8034B" w:rsidP="00E50E3E">
            <w:pPr>
              <w:spacing w:before="0" w:after="0" w:line="360" w:lineRule="auto"/>
            </w:pPr>
            <w:r>
              <w:t>76</w:t>
            </w:r>
          </w:p>
        </w:tc>
        <w:tc>
          <w:tcPr>
            <w:tcW w:w="3108" w:type="dxa"/>
          </w:tcPr>
          <w:p w14:paraId="76CA82AC" w14:textId="7A521473" w:rsidR="00B8034B" w:rsidRDefault="00B8034B" w:rsidP="00E50E3E">
            <w:pPr>
              <w:spacing w:before="0" w:after="0" w:line="360" w:lineRule="auto"/>
            </w:pPr>
            <w:r>
              <w:t>69</w:t>
            </w:r>
          </w:p>
        </w:tc>
      </w:tr>
      <w:tr w:rsidR="00B8034B" w14:paraId="4082C194" w14:textId="77777777" w:rsidTr="00E50E3E">
        <w:tc>
          <w:tcPr>
            <w:tcW w:w="3107" w:type="dxa"/>
          </w:tcPr>
          <w:p w14:paraId="7C454C95" w14:textId="364350A4" w:rsidR="00B8034B" w:rsidRDefault="00B8034B" w:rsidP="00E50E3E">
            <w:pPr>
              <w:spacing w:before="0" w:after="0" w:line="360" w:lineRule="auto"/>
            </w:pPr>
            <w:r>
              <w:t>France</w:t>
            </w:r>
          </w:p>
        </w:tc>
        <w:tc>
          <w:tcPr>
            <w:tcW w:w="3108" w:type="dxa"/>
          </w:tcPr>
          <w:p w14:paraId="0997DDAD" w14:textId="496E096F" w:rsidR="00B8034B" w:rsidRDefault="00B8034B" w:rsidP="00E50E3E">
            <w:pPr>
              <w:spacing w:before="0" w:after="0" w:line="360" w:lineRule="auto"/>
            </w:pPr>
            <w:r>
              <w:t>74</w:t>
            </w:r>
          </w:p>
        </w:tc>
        <w:tc>
          <w:tcPr>
            <w:tcW w:w="3108" w:type="dxa"/>
          </w:tcPr>
          <w:p w14:paraId="221FFEE8" w14:textId="15E114D4" w:rsidR="00B8034B" w:rsidRDefault="00B8034B" w:rsidP="00E50E3E">
            <w:pPr>
              <w:spacing w:before="0" w:after="0" w:line="360" w:lineRule="auto"/>
            </w:pPr>
            <w:r>
              <w:t>74</w:t>
            </w:r>
          </w:p>
        </w:tc>
      </w:tr>
      <w:tr w:rsidR="00B8034B" w14:paraId="00B52FE7" w14:textId="77777777" w:rsidTr="00E50E3E">
        <w:tc>
          <w:tcPr>
            <w:tcW w:w="3107" w:type="dxa"/>
          </w:tcPr>
          <w:p w14:paraId="7349268D" w14:textId="0AE5B95E" w:rsidR="00B8034B" w:rsidRDefault="00B8034B" w:rsidP="00E50E3E">
            <w:pPr>
              <w:spacing w:before="0" w:after="0" w:line="360" w:lineRule="auto"/>
            </w:pPr>
            <w:r>
              <w:t>Canada</w:t>
            </w:r>
          </w:p>
        </w:tc>
        <w:tc>
          <w:tcPr>
            <w:tcW w:w="3108" w:type="dxa"/>
          </w:tcPr>
          <w:p w14:paraId="5858DC9E" w14:textId="348ADACD" w:rsidR="00B8034B" w:rsidRDefault="00B8034B" w:rsidP="00E50E3E">
            <w:pPr>
              <w:spacing w:before="0" w:after="0" w:line="360" w:lineRule="auto"/>
            </w:pPr>
            <w:r>
              <w:t>71</w:t>
            </w:r>
          </w:p>
        </w:tc>
        <w:tc>
          <w:tcPr>
            <w:tcW w:w="3108" w:type="dxa"/>
          </w:tcPr>
          <w:p w14:paraId="64147ABA" w14:textId="5A1493CE" w:rsidR="00B8034B" w:rsidRDefault="00B8034B" w:rsidP="00E50E3E">
            <w:pPr>
              <w:spacing w:before="0" w:after="0" w:line="360" w:lineRule="auto"/>
            </w:pPr>
            <w:r>
              <w:t>74</w:t>
            </w:r>
          </w:p>
        </w:tc>
      </w:tr>
      <w:tr w:rsidR="00B8034B" w14:paraId="230B5F56" w14:textId="77777777" w:rsidTr="00E50E3E">
        <w:tc>
          <w:tcPr>
            <w:tcW w:w="3107" w:type="dxa"/>
          </w:tcPr>
          <w:p w14:paraId="41FB6DD6" w14:textId="734040FB" w:rsidR="00B8034B" w:rsidRDefault="00B8034B" w:rsidP="00E50E3E">
            <w:pPr>
              <w:spacing w:before="0" w:after="0" w:line="360" w:lineRule="auto"/>
            </w:pPr>
            <w:r>
              <w:t>Italy</w:t>
            </w:r>
          </w:p>
        </w:tc>
        <w:tc>
          <w:tcPr>
            <w:tcW w:w="3108" w:type="dxa"/>
          </w:tcPr>
          <w:p w14:paraId="65B17811" w14:textId="778B4631" w:rsidR="00B8034B" w:rsidRDefault="00B8034B" w:rsidP="00E50E3E">
            <w:pPr>
              <w:spacing w:before="0" w:after="0" w:line="360" w:lineRule="auto"/>
            </w:pPr>
            <w:r>
              <w:t>71</w:t>
            </w:r>
          </w:p>
        </w:tc>
        <w:tc>
          <w:tcPr>
            <w:tcW w:w="3108" w:type="dxa"/>
          </w:tcPr>
          <w:p w14:paraId="64581ADC" w14:textId="2FDF4E62" w:rsidR="00B8034B" w:rsidRDefault="00B8034B" w:rsidP="00E50E3E">
            <w:pPr>
              <w:spacing w:before="0" w:after="0" w:line="360" w:lineRule="auto"/>
            </w:pPr>
            <w:r>
              <w:t>76</w:t>
            </w:r>
          </w:p>
        </w:tc>
      </w:tr>
      <w:tr w:rsidR="00B8034B" w14:paraId="6DDFADAF" w14:textId="77777777" w:rsidTr="00E50E3E">
        <w:tc>
          <w:tcPr>
            <w:tcW w:w="3107" w:type="dxa"/>
          </w:tcPr>
          <w:p w14:paraId="065531EC" w14:textId="6E22ABBF" w:rsidR="00B8034B" w:rsidRDefault="00B8034B" w:rsidP="00E50E3E">
            <w:pPr>
              <w:spacing w:before="0" w:after="0" w:line="360" w:lineRule="auto"/>
            </w:pPr>
            <w:r>
              <w:t>Germany</w:t>
            </w:r>
          </w:p>
        </w:tc>
        <w:tc>
          <w:tcPr>
            <w:tcW w:w="3108" w:type="dxa"/>
          </w:tcPr>
          <w:p w14:paraId="0D68EFBF" w14:textId="34050C55" w:rsidR="00B8034B" w:rsidRDefault="00B8034B" w:rsidP="00E50E3E">
            <w:pPr>
              <w:spacing w:before="0" w:after="0" w:line="360" w:lineRule="auto"/>
            </w:pPr>
            <w:r>
              <w:t>69</w:t>
            </w:r>
          </w:p>
        </w:tc>
        <w:tc>
          <w:tcPr>
            <w:tcW w:w="3108" w:type="dxa"/>
          </w:tcPr>
          <w:p w14:paraId="0DC23108" w14:textId="11BC6276" w:rsidR="00B8034B" w:rsidRDefault="00B8034B" w:rsidP="00E50E3E">
            <w:pPr>
              <w:spacing w:before="0" w:after="0" w:line="360" w:lineRule="auto"/>
            </w:pPr>
            <w:r>
              <w:t>76</w:t>
            </w:r>
          </w:p>
        </w:tc>
      </w:tr>
      <w:tr w:rsidR="00B8034B" w14:paraId="072F1372" w14:textId="77777777" w:rsidTr="00E50E3E">
        <w:tc>
          <w:tcPr>
            <w:tcW w:w="3107" w:type="dxa"/>
          </w:tcPr>
          <w:p w14:paraId="3917121A" w14:textId="2427B857" w:rsidR="00B8034B" w:rsidRDefault="00B8034B" w:rsidP="00E50E3E">
            <w:pPr>
              <w:spacing w:before="0" w:after="0" w:line="360" w:lineRule="auto"/>
            </w:pPr>
            <w:r>
              <w:t>Norway</w:t>
            </w:r>
          </w:p>
        </w:tc>
        <w:tc>
          <w:tcPr>
            <w:tcW w:w="3108" w:type="dxa"/>
          </w:tcPr>
          <w:p w14:paraId="451E4F47" w14:textId="4012DFEC" w:rsidR="00B8034B" w:rsidRDefault="00B8034B" w:rsidP="00E50E3E">
            <w:pPr>
              <w:spacing w:before="0" w:after="0" w:line="360" w:lineRule="auto"/>
            </w:pPr>
            <w:r>
              <w:t>80</w:t>
            </w:r>
          </w:p>
        </w:tc>
        <w:tc>
          <w:tcPr>
            <w:tcW w:w="3108" w:type="dxa"/>
          </w:tcPr>
          <w:p w14:paraId="36D43CD9" w14:textId="491772FD" w:rsidR="00B8034B" w:rsidRDefault="00B8034B" w:rsidP="00E50E3E">
            <w:pPr>
              <w:spacing w:before="0" w:after="0" w:line="360" w:lineRule="auto"/>
            </w:pPr>
            <w:r>
              <w:t>80</w:t>
            </w:r>
          </w:p>
        </w:tc>
      </w:tr>
      <w:tr w:rsidR="00B8034B" w14:paraId="3CBC8CE2" w14:textId="77777777" w:rsidTr="00E50E3E">
        <w:tc>
          <w:tcPr>
            <w:tcW w:w="3107" w:type="dxa"/>
          </w:tcPr>
          <w:p w14:paraId="3409C240" w14:textId="0ECB2771" w:rsidR="00B8034B" w:rsidRDefault="00B8034B" w:rsidP="00E50E3E">
            <w:pPr>
              <w:spacing w:before="0" w:after="0" w:line="360" w:lineRule="auto"/>
            </w:pPr>
            <w:r>
              <w:t>Sweden</w:t>
            </w:r>
          </w:p>
        </w:tc>
        <w:tc>
          <w:tcPr>
            <w:tcW w:w="3108" w:type="dxa"/>
          </w:tcPr>
          <w:p w14:paraId="756DCFD0" w14:textId="39B1ABD6" w:rsidR="00B8034B" w:rsidRDefault="00B8034B" w:rsidP="00E50E3E">
            <w:pPr>
              <w:spacing w:before="0" w:after="0" w:line="360" w:lineRule="auto"/>
            </w:pPr>
            <w:r>
              <w:t>86</w:t>
            </w:r>
          </w:p>
        </w:tc>
        <w:tc>
          <w:tcPr>
            <w:tcW w:w="3108" w:type="dxa"/>
          </w:tcPr>
          <w:p w14:paraId="10CA521B" w14:textId="43F2B8AD" w:rsidR="00B8034B" w:rsidRDefault="00B8034B" w:rsidP="00E50E3E">
            <w:pPr>
              <w:spacing w:before="0" w:after="0" w:line="360" w:lineRule="auto"/>
            </w:pPr>
            <w:r>
              <w:t>85</w:t>
            </w:r>
          </w:p>
        </w:tc>
      </w:tr>
      <w:tr w:rsidR="00B8034B" w14:paraId="75452401" w14:textId="77777777" w:rsidTr="00E50E3E">
        <w:tc>
          <w:tcPr>
            <w:tcW w:w="3107" w:type="dxa"/>
          </w:tcPr>
          <w:p w14:paraId="287580FC" w14:textId="078B03DF" w:rsidR="00B8034B" w:rsidRDefault="00B8034B" w:rsidP="00E50E3E">
            <w:pPr>
              <w:spacing w:before="0" w:after="0" w:line="360" w:lineRule="auto"/>
            </w:pPr>
            <w:r>
              <w:t>New Zealand</w:t>
            </w:r>
          </w:p>
        </w:tc>
        <w:tc>
          <w:tcPr>
            <w:tcW w:w="3108" w:type="dxa"/>
          </w:tcPr>
          <w:p w14:paraId="3EE216F1" w14:textId="5237CE0C" w:rsidR="00B8034B" w:rsidRDefault="00B8034B" w:rsidP="00E50E3E">
            <w:pPr>
              <w:spacing w:before="0" w:after="0" w:line="360" w:lineRule="auto"/>
            </w:pPr>
            <w:r>
              <w:t>87</w:t>
            </w:r>
          </w:p>
        </w:tc>
        <w:tc>
          <w:tcPr>
            <w:tcW w:w="3108" w:type="dxa"/>
          </w:tcPr>
          <w:p w14:paraId="0296FBC3" w14:textId="105E91C7" w:rsidR="00B8034B" w:rsidRDefault="00B8034B" w:rsidP="00E50E3E">
            <w:pPr>
              <w:spacing w:before="0" w:after="0" w:line="360" w:lineRule="auto"/>
            </w:pPr>
            <w:r>
              <w:t>87</w:t>
            </w:r>
          </w:p>
        </w:tc>
      </w:tr>
    </w:tbl>
    <w:p w14:paraId="7C6DB402" w14:textId="77777777" w:rsidR="00B8034B" w:rsidRDefault="00B8034B" w:rsidP="007F17DE"/>
    <w:p w14:paraId="65319556" w14:textId="77777777" w:rsidR="00B8034B" w:rsidRDefault="00B8034B">
      <w:pPr>
        <w:spacing w:before="0" w:after="0" w:line="360" w:lineRule="auto"/>
        <w:rPr>
          <w:b/>
          <w:kern w:val="24"/>
          <w:sz w:val="32"/>
          <w:szCs w:val="32"/>
        </w:rPr>
      </w:pPr>
      <w:bookmarkStart w:id="28" w:name="_Toc167112880"/>
      <w:r>
        <w:br w:type="page"/>
      </w:r>
    </w:p>
    <w:p w14:paraId="53EB6D8D" w14:textId="2AC51133" w:rsidR="000361A8" w:rsidRDefault="000361A8" w:rsidP="007F17DE">
      <w:pPr>
        <w:pStyle w:val="Heading3"/>
        <w:spacing w:line="276" w:lineRule="auto"/>
      </w:pPr>
      <w:bookmarkStart w:id="29" w:name="_Toc167782854"/>
      <w:r>
        <w:lastRenderedPageBreak/>
        <w:t>What changed in OBS 2023 from OBS 2019?</w:t>
      </w:r>
      <w:bookmarkEnd w:id="28"/>
      <w:bookmarkEnd w:id="29"/>
    </w:p>
    <w:p w14:paraId="3A4BA145" w14:textId="77777777" w:rsidR="00C57B2E" w:rsidRDefault="00C57B2E" w:rsidP="007F17DE">
      <w:r>
        <w:t xml:space="preserve">Scotland’s transparency score of </w:t>
      </w:r>
      <w:r w:rsidRPr="000361A8">
        <w:rPr>
          <w:b/>
          <w:bCs/>
        </w:rPr>
        <w:t>60</w:t>
      </w:r>
      <w:r>
        <w:t xml:space="preserve"> in the OBS 2023 represents a noted improvement on its score of </w:t>
      </w:r>
      <w:r w:rsidRPr="00BF3380">
        <w:rPr>
          <w:b/>
          <w:bCs/>
        </w:rPr>
        <w:t>41</w:t>
      </w:r>
      <w:r>
        <w:rPr>
          <w:rStyle w:val="EndnoteReference"/>
          <w:b/>
          <w:bCs/>
          <w:sz w:val="24"/>
          <w:szCs w:val="24"/>
        </w:rPr>
        <w:endnoteReference w:id="12"/>
      </w:r>
      <w:r>
        <w:rPr>
          <w:b/>
          <w:bCs/>
        </w:rPr>
        <w:t xml:space="preserve"> </w:t>
      </w:r>
      <w:r>
        <w:t>in 2019.</w:t>
      </w:r>
    </w:p>
    <w:p w14:paraId="02769E40" w14:textId="77777777" w:rsidR="00C57B2E" w:rsidRDefault="00C57B2E" w:rsidP="007F17DE">
      <w:r>
        <w:t xml:space="preserve">Scotland has </w:t>
      </w:r>
      <w:r w:rsidRPr="00E50E0D">
        <w:rPr>
          <w:b/>
          <w:bCs/>
        </w:rPr>
        <w:t>increased</w:t>
      </w:r>
      <w:r>
        <w:t xml:space="preserve"> the availability of budget information by:</w:t>
      </w:r>
    </w:p>
    <w:p w14:paraId="1BA1A9FC" w14:textId="77777777" w:rsidR="00C57B2E" w:rsidRPr="00233DA8" w:rsidRDefault="00C57B2E" w:rsidP="0033343E">
      <w:pPr>
        <w:pStyle w:val="Bulletted"/>
        <w:rPr>
          <w:kern w:val="24"/>
          <w:sz w:val="36"/>
          <w:szCs w:val="36"/>
        </w:rPr>
      </w:pPr>
      <w:r>
        <w:t>Publishing a Citizen’s version of the Enacted Budget (albeit with noted limitations – e.g. limited information, no contact information, no identified mechanism to gather public views to inform the document, and only provided for the Enacted Budget stage);</w:t>
      </w:r>
    </w:p>
    <w:p w14:paraId="2402ECE3" w14:textId="77777777" w:rsidR="00C57B2E" w:rsidRPr="00BC63C4" w:rsidRDefault="00C57B2E" w:rsidP="0033343E">
      <w:pPr>
        <w:pStyle w:val="Bulletted"/>
        <w:rPr>
          <w:kern w:val="24"/>
          <w:sz w:val="36"/>
          <w:szCs w:val="36"/>
        </w:rPr>
      </w:pPr>
      <w:r>
        <w:t xml:space="preserve">Publishing a Mid-Year </w:t>
      </w:r>
      <w:r w:rsidRPr="00BC63C4">
        <w:t xml:space="preserve">Review </w:t>
      </w:r>
      <w:r>
        <w:rPr>
          <w:rFonts w:cs="Arial"/>
        </w:rPr>
        <w:t>6</w:t>
      </w:r>
      <w:r w:rsidRPr="00BC63C4">
        <w:rPr>
          <w:rFonts w:cs="Arial"/>
        </w:rPr>
        <w:t xml:space="preserve"> weeks or less after the midpoint</w:t>
      </w:r>
      <w:r w:rsidRPr="00BC63C4">
        <w:t>;</w:t>
      </w:r>
    </w:p>
    <w:p w14:paraId="1F467DC2" w14:textId="77777777" w:rsidR="00C57B2E" w:rsidRPr="006F1113" w:rsidRDefault="00C57B2E" w:rsidP="0033343E">
      <w:pPr>
        <w:pStyle w:val="Bulletted"/>
        <w:rPr>
          <w:kern w:val="24"/>
          <w:sz w:val="36"/>
          <w:szCs w:val="36"/>
        </w:rPr>
      </w:pPr>
      <w:r>
        <w:rPr>
          <w:rFonts w:cs="Arial"/>
        </w:rPr>
        <w:t>Presenting sufficient or improved information on:</w:t>
      </w:r>
    </w:p>
    <w:p w14:paraId="6E534547" w14:textId="3D5F414F" w:rsidR="00C57B2E" w:rsidRPr="006F1113" w:rsidRDefault="00C57B2E" w:rsidP="0033343E">
      <w:pPr>
        <w:pStyle w:val="Bullet1"/>
        <w:rPr>
          <w:kern w:val="24"/>
          <w:sz w:val="36"/>
          <w:szCs w:val="36"/>
        </w:rPr>
      </w:pPr>
      <w:r>
        <w:t>i</w:t>
      </w:r>
      <w:r w:rsidRPr="00C16905">
        <w:t>ndividual sources of non-tax revenue accounting for all non-tax revenue</w:t>
      </w:r>
    </w:p>
    <w:p w14:paraId="0B95B1C7" w14:textId="0A59369D" w:rsidR="00C57B2E" w:rsidRPr="007832A6" w:rsidRDefault="00C57B2E" w:rsidP="0033343E">
      <w:pPr>
        <w:pStyle w:val="Bullet1"/>
        <w:rPr>
          <w:kern w:val="24"/>
        </w:rPr>
      </w:pPr>
      <w:r>
        <w:t>Scotland’s</w:t>
      </w:r>
      <w:r w:rsidRPr="006F1113">
        <w:t xml:space="preserve"> debt</w:t>
      </w:r>
    </w:p>
    <w:p w14:paraId="08D1D1E0" w14:textId="1B90E062" w:rsidR="00C57B2E" w:rsidRPr="000B67E4" w:rsidRDefault="00C57B2E" w:rsidP="0033343E">
      <w:pPr>
        <w:pStyle w:val="Bullet1"/>
        <w:rPr>
          <w:kern w:val="24"/>
        </w:rPr>
      </w:pPr>
      <w:r w:rsidRPr="007832A6">
        <w:t>coverage of expenditure estimates</w:t>
      </w:r>
      <w:r>
        <w:t xml:space="preserve"> and outturn data</w:t>
      </w:r>
    </w:p>
    <w:p w14:paraId="746D22CA" w14:textId="1FFCBDAF" w:rsidR="00C57B2E" w:rsidRPr="00E50E0D" w:rsidRDefault="00C57B2E" w:rsidP="0033343E">
      <w:pPr>
        <w:pStyle w:val="Bullet1"/>
        <w:rPr>
          <w:kern w:val="24"/>
        </w:rPr>
      </w:pPr>
      <w:r>
        <w:t xml:space="preserve">performance targets and </w:t>
      </w:r>
      <w:r w:rsidRPr="000B67E4">
        <w:t>nonfinancial data on results</w:t>
      </w:r>
      <w:r>
        <w:t xml:space="preserve"> across broad areas (gold standard would connect to programme-level)</w:t>
      </w:r>
    </w:p>
    <w:p w14:paraId="19DC83DD" w14:textId="3E05B140" w:rsidR="00C57B2E" w:rsidRPr="000B67E4" w:rsidRDefault="00C57B2E" w:rsidP="0033343E">
      <w:pPr>
        <w:pStyle w:val="Bullet1"/>
        <w:rPr>
          <w:kern w:val="24"/>
        </w:rPr>
      </w:pPr>
      <w:r>
        <w:t xml:space="preserve">analysis and narrative of how policies may impact on vulnerable or marginalised groups – </w:t>
      </w:r>
      <w:r>
        <w:rPr>
          <w:i/>
          <w:iCs/>
        </w:rPr>
        <w:t xml:space="preserve">however - </w:t>
      </w:r>
      <w:r w:rsidRPr="00C57B2E">
        <w:t>informal guidance</w:t>
      </w:r>
      <w:r>
        <w:rPr>
          <w:rStyle w:val="EndnoteReference"/>
        </w:rPr>
        <w:endnoteReference w:id="13"/>
      </w:r>
      <w:r>
        <w:t xml:space="preserve"> for policy makers, produced in 2019, created to support government departments to undertake better equality and human rights analysis of potential budgetary decisions at different stages of the budget process was slow to be utilised (and did not feature until the 2023/24 budget)</w:t>
      </w:r>
    </w:p>
    <w:p w14:paraId="3BBB7F17" w14:textId="77777777" w:rsidR="00C57B2E" w:rsidRPr="000B67E4" w:rsidRDefault="00C57B2E" w:rsidP="0033343E">
      <w:pPr>
        <w:pStyle w:val="Bullet1"/>
        <w:rPr>
          <w:kern w:val="24"/>
        </w:rPr>
      </w:pPr>
      <w:r w:rsidRPr="000B67E4">
        <w:t xml:space="preserve">a budget timetable – </w:t>
      </w:r>
      <w:r w:rsidRPr="00250294">
        <w:rPr>
          <w:i/>
          <w:iCs/>
        </w:rPr>
        <w:t>however</w:t>
      </w:r>
      <w:r w:rsidRPr="000B67E4">
        <w:t xml:space="preserve"> </w:t>
      </w:r>
      <w:r>
        <w:t>–</w:t>
      </w:r>
      <w:r w:rsidRPr="000B67E4">
        <w:t xml:space="preserve"> it</w:t>
      </w:r>
      <w:r>
        <w:t xml:space="preserve"> </w:t>
      </w:r>
      <w:r w:rsidRPr="000B67E4">
        <w:t>lacked important details, was not always adhered to and was not clearly linked to in the 2021/22 Budget documents</w:t>
      </w:r>
      <w:r>
        <w:t>.</w:t>
      </w:r>
    </w:p>
    <w:p w14:paraId="1F17DBF0" w14:textId="77777777" w:rsidR="005B039F" w:rsidRDefault="005B039F">
      <w:pPr>
        <w:spacing w:before="0" w:after="0" w:line="360" w:lineRule="auto"/>
      </w:pPr>
      <w:r>
        <w:br w:type="page"/>
      </w:r>
    </w:p>
    <w:p w14:paraId="362B118D" w14:textId="1BB8E437" w:rsidR="00233DA8" w:rsidRDefault="00233DA8" w:rsidP="007F17DE">
      <w:r>
        <w:lastRenderedPageBreak/>
        <w:t xml:space="preserve">Scotland has </w:t>
      </w:r>
      <w:r w:rsidRPr="00E50E0D">
        <w:rPr>
          <w:b/>
          <w:bCs/>
        </w:rPr>
        <w:t>decreased</w:t>
      </w:r>
      <w:r>
        <w:t xml:space="preserve"> the availability of budget information by:</w:t>
      </w:r>
    </w:p>
    <w:p w14:paraId="53F64216" w14:textId="77777777" w:rsidR="00C57B2E" w:rsidRPr="00BC63C4" w:rsidRDefault="00C57B2E" w:rsidP="0033343E">
      <w:pPr>
        <w:pStyle w:val="Bulletted"/>
        <w:rPr>
          <w:kern w:val="24"/>
        </w:rPr>
      </w:pPr>
      <w:r>
        <w:t>publishing t</w:t>
      </w:r>
      <w:r w:rsidRPr="00AE1E64">
        <w:t>he 2021/2022 draft budget less than three months prior to the start of the budget (gold standard = at least three months in advance of the budget year)</w:t>
      </w:r>
      <w:r>
        <w:t>;</w:t>
      </w:r>
    </w:p>
    <w:p w14:paraId="29521964" w14:textId="77777777" w:rsidR="00C57B2E" w:rsidRPr="00787206" w:rsidRDefault="00C57B2E" w:rsidP="0033343E">
      <w:pPr>
        <w:pStyle w:val="Bulletted"/>
        <w:rPr>
          <w:kern w:val="24"/>
        </w:rPr>
      </w:pPr>
      <w:r>
        <w:t>delays in the publication of a number of the key documents (in part due to UK Government delays and the impact of COVID);</w:t>
      </w:r>
    </w:p>
    <w:p w14:paraId="4DA4CB2C" w14:textId="77777777" w:rsidR="00C57B2E" w:rsidRPr="000B67E4" w:rsidRDefault="00C57B2E" w:rsidP="0033343E">
      <w:pPr>
        <w:pStyle w:val="Bulletted"/>
        <w:rPr>
          <w:kern w:val="24"/>
        </w:rPr>
      </w:pPr>
      <w:r w:rsidRPr="000B67E4">
        <w:rPr>
          <w:rFonts w:cs="Arial"/>
        </w:rPr>
        <w:t xml:space="preserve">not presenting certain financial information and/or supporting documentation that was provided in 2017/18 (e.g. multi-year expenditure estimates by any expenditure classification; </w:t>
      </w:r>
      <w:r w:rsidRPr="000B67E4">
        <w:rPr>
          <w:kern w:val="24"/>
        </w:rPr>
        <w:t xml:space="preserve">Devolved Taxes </w:t>
      </w:r>
      <w:r w:rsidRPr="000B67E4">
        <w:rPr>
          <w:rFonts w:cs="Arial"/>
        </w:rPr>
        <w:t>Forecast Methodology Document;</w:t>
      </w:r>
      <w:r>
        <w:rPr>
          <w:rFonts w:cs="Arial"/>
        </w:rPr>
        <w:t xml:space="preserve"> </w:t>
      </w:r>
      <w:r w:rsidRPr="000B67E4">
        <w:rPr>
          <w:rFonts w:cs="Arial"/>
        </w:rPr>
        <w:t>revenue estimates updated from the original enacted levels</w:t>
      </w:r>
      <w:r>
        <w:rPr>
          <w:rFonts w:cs="Arial"/>
        </w:rPr>
        <w:t xml:space="preserve"> – see Questionnaire Annex for full details).</w:t>
      </w:r>
    </w:p>
    <w:p w14:paraId="565DF715" w14:textId="77777777" w:rsidR="005F2C21" w:rsidRDefault="005F2C21">
      <w:pPr>
        <w:spacing w:before="0" w:after="0" w:line="360" w:lineRule="auto"/>
        <w:rPr>
          <w:b/>
          <w:kern w:val="24"/>
          <w:sz w:val="32"/>
          <w:szCs w:val="32"/>
        </w:rPr>
      </w:pPr>
      <w:bookmarkStart w:id="30" w:name="_Toc167112881"/>
      <w:r>
        <w:br w:type="page"/>
      </w:r>
    </w:p>
    <w:p w14:paraId="61F1E9D6" w14:textId="3DF76156" w:rsidR="00233DA8" w:rsidRDefault="00E45649" w:rsidP="007F17DE">
      <w:pPr>
        <w:pStyle w:val="Heading3"/>
        <w:spacing w:line="276" w:lineRule="auto"/>
      </w:pPr>
      <w:bookmarkStart w:id="31" w:name="_Toc167782855"/>
      <w:r>
        <w:lastRenderedPageBreak/>
        <w:t xml:space="preserve">Transparency </w:t>
      </w:r>
      <w:r w:rsidR="00233DA8">
        <w:t>Recommendations</w:t>
      </w:r>
      <w:bookmarkEnd w:id="30"/>
      <w:bookmarkEnd w:id="31"/>
    </w:p>
    <w:p w14:paraId="13AE81E3" w14:textId="77777777" w:rsidR="00233DA8" w:rsidRDefault="00233DA8" w:rsidP="007F17DE">
      <w:r>
        <w:t>Scotland should prioritise the following actions to improve budget transparency:</w:t>
      </w:r>
    </w:p>
    <w:p w14:paraId="5126B617" w14:textId="77777777" w:rsidR="00C57B2E" w:rsidRPr="007D72AB" w:rsidRDefault="00C57B2E" w:rsidP="007F17DE">
      <w:pPr>
        <w:pStyle w:val="Subtitle"/>
        <w:numPr>
          <w:ilvl w:val="0"/>
          <w:numId w:val="18"/>
        </w:numPr>
      </w:pPr>
      <w:r>
        <w:t>Produce and publish a Pre-Budget Statement and In-Year Reports in a timely manner (</w:t>
      </w:r>
      <w:r w:rsidRPr="00E50E0D">
        <w:rPr>
          <w:b/>
          <w:bCs/>
        </w:rPr>
        <w:t>outstanding recommendation from 2019</w:t>
      </w:r>
      <w:r>
        <w:t>).</w:t>
      </w:r>
    </w:p>
    <w:p w14:paraId="55247F79" w14:textId="4F407315" w:rsidR="00C57B2E" w:rsidRPr="007D72AB" w:rsidRDefault="00C57B2E" w:rsidP="007F17DE">
      <w:pPr>
        <w:pStyle w:val="Subtitle"/>
        <w:numPr>
          <w:ilvl w:val="0"/>
          <w:numId w:val="18"/>
        </w:numPr>
        <w:rPr>
          <w:kern w:val="24"/>
        </w:rPr>
      </w:pPr>
      <w:bookmarkStart w:id="32" w:name="_Hlk166137224"/>
      <w:r w:rsidRPr="007D72AB">
        <w:rPr>
          <w:kern w:val="24"/>
        </w:rPr>
        <w:t>Impact</w:t>
      </w:r>
      <w:r w:rsidR="007F127F">
        <w:rPr>
          <w:kern w:val="24"/>
        </w:rPr>
        <w:t xml:space="preserve">, </w:t>
      </w:r>
      <w:r w:rsidRPr="007D72AB">
        <w:rPr>
          <w:kern w:val="24"/>
        </w:rPr>
        <w:t>assess</w:t>
      </w:r>
      <w:r w:rsidR="00311C41">
        <w:rPr>
          <w:kern w:val="24"/>
        </w:rPr>
        <w:t xml:space="preserve"> and make public</w:t>
      </w:r>
      <w:r>
        <w:rPr>
          <w:kern w:val="24"/>
        </w:rPr>
        <w:t xml:space="preserve"> </w:t>
      </w:r>
      <w:r w:rsidR="007A1FBD">
        <w:rPr>
          <w:kern w:val="24"/>
        </w:rPr>
        <w:t>I</w:t>
      </w:r>
      <w:r>
        <w:rPr>
          <w:kern w:val="24"/>
        </w:rPr>
        <w:t>n-</w:t>
      </w:r>
      <w:r w:rsidR="007A1FBD">
        <w:rPr>
          <w:kern w:val="24"/>
        </w:rPr>
        <w:t>Y</w:t>
      </w:r>
      <w:r>
        <w:rPr>
          <w:kern w:val="24"/>
        </w:rPr>
        <w:t xml:space="preserve">ear budget revisions. </w:t>
      </w:r>
    </w:p>
    <w:bookmarkEnd w:id="32"/>
    <w:p w14:paraId="743B2D1B" w14:textId="77777777" w:rsidR="00C57B2E" w:rsidRDefault="00C57B2E" w:rsidP="007F17DE">
      <w:pPr>
        <w:pStyle w:val="Subtitle"/>
        <w:numPr>
          <w:ilvl w:val="0"/>
          <w:numId w:val="18"/>
        </w:numPr>
      </w:pPr>
      <w:r>
        <w:t>Publish a citizen’s version of each key document at the same time as the key document, to support citizens’ engagement with the budget (</w:t>
      </w:r>
      <w:r w:rsidRPr="00E50E0D">
        <w:rPr>
          <w:b/>
          <w:bCs/>
        </w:rPr>
        <w:t>outstanding recommendation from 2019</w:t>
      </w:r>
      <w:r>
        <w:t>).</w:t>
      </w:r>
    </w:p>
    <w:p w14:paraId="1D3E5115" w14:textId="300B0229" w:rsidR="00C57B2E" w:rsidRPr="00233DA8" w:rsidRDefault="00C57B2E" w:rsidP="007F17DE">
      <w:pPr>
        <w:pStyle w:val="Subtitle"/>
        <w:numPr>
          <w:ilvl w:val="0"/>
          <w:numId w:val="18"/>
        </w:numPr>
        <w:rPr>
          <w:kern w:val="24"/>
          <w:sz w:val="36"/>
          <w:szCs w:val="36"/>
        </w:rPr>
      </w:pPr>
      <w:r>
        <w:t xml:space="preserve">Produce an improved Budget publication timeline – present this on a single web landing page where </w:t>
      </w:r>
      <w:r w:rsidRPr="00917E9B">
        <w:rPr>
          <w:i/>
          <w:iCs/>
        </w:rPr>
        <w:t>all</w:t>
      </w:r>
      <w:r>
        <w:t xml:space="preserve"> budget documentation can be accessed and downloaded. Consistent information for each budget year would facilitate reflective scrutiny </w:t>
      </w:r>
      <w:r w:rsidR="00AC11FB">
        <w:t>and</w:t>
      </w:r>
      <w:r>
        <w:t xml:space="preserve"> oversight.</w:t>
      </w:r>
    </w:p>
    <w:p w14:paraId="7AB9583C" w14:textId="77777777" w:rsidR="00C57B2E" w:rsidRPr="00233DA8" w:rsidRDefault="00C57B2E" w:rsidP="007F17DE">
      <w:pPr>
        <w:pStyle w:val="Subtitle"/>
        <w:numPr>
          <w:ilvl w:val="0"/>
          <w:numId w:val="18"/>
        </w:numPr>
        <w:rPr>
          <w:kern w:val="24"/>
          <w:sz w:val="36"/>
          <w:szCs w:val="36"/>
        </w:rPr>
      </w:pPr>
      <w:r>
        <w:t>Continue to improve the comprehensiveness of the Executive Budget Proposal and Mid-Year Reports.</w:t>
      </w:r>
    </w:p>
    <w:p w14:paraId="337AEC2F" w14:textId="23C4E7AA" w:rsidR="00C57B2E" w:rsidRPr="00E50E0D" w:rsidRDefault="00C57B2E" w:rsidP="007F17DE">
      <w:pPr>
        <w:pStyle w:val="Subtitle"/>
        <w:numPr>
          <w:ilvl w:val="0"/>
          <w:numId w:val="18"/>
        </w:numPr>
        <w:rPr>
          <w:kern w:val="24"/>
          <w:sz w:val="36"/>
          <w:szCs w:val="36"/>
        </w:rPr>
      </w:pPr>
      <w:r>
        <w:t xml:space="preserve">Make budget publications in </w:t>
      </w:r>
      <w:r w:rsidR="007F127F">
        <w:t xml:space="preserve">an </w:t>
      </w:r>
      <w:r>
        <w:t xml:space="preserve">accessible, simplified format and disseminated in different languages, with the participation of existing civil society groups. </w:t>
      </w:r>
    </w:p>
    <w:p w14:paraId="3AA33FAB" w14:textId="3C58A3B6" w:rsidR="00EB7225" w:rsidRPr="005E3D70" w:rsidRDefault="00C57B2E" w:rsidP="007F17DE">
      <w:pPr>
        <w:pStyle w:val="Subtitle"/>
        <w:numPr>
          <w:ilvl w:val="0"/>
          <w:numId w:val="18"/>
        </w:numPr>
        <w:rPr>
          <w:kern w:val="24"/>
          <w:sz w:val="36"/>
          <w:szCs w:val="36"/>
        </w:rPr>
      </w:pPr>
      <w:r>
        <w:t>Within budget documentation provide active links to other relevant budget documentation (and the landing page noted above).</w:t>
      </w:r>
    </w:p>
    <w:p w14:paraId="5ACC9801" w14:textId="77777777" w:rsidR="005E3D70" w:rsidRDefault="005E3D70" w:rsidP="007F17DE">
      <w:pPr>
        <w:rPr>
          <w:b/>
          <w:kern w:val="24"/>
          <w:sz w:val="40"/>
          <w:szCs w:val="52"/>
          <w:highlight w:val="lightGray"/>
        </w:rPr>
      </w:pPr>
      <w:r>
        <w:rPr>
          <w:highlight w:val="lightGray"/>
        </w:rPr>
        <w:br w:type="page"/>
      </w:r>
    </w:p>
    <w:p w14:paraId="26FAF77F" w14:textId="26146486" w:rsidR="007B384F" w:rsidRDefault="007B384F" w:rsidP="00881916">
      <w:pPr>
        <w:pStyle w:val="Heading2"/>
      </w:pPr>
      <w:bookmarkStart w:id="33" w:name="_Toc167112817"/>
      <w:bookmarkStart w:id="34" w:name="_Toc167112882"/>
      <w:bookmarkStart w:id="35" w:name="_Toc167782856"/>
      <w:r>
        <w:lastRenderedPageBreak/>
        <w:t>Public Participation</w:t>
      </w:r>
      <w:bookmarkEnd w:id="33"/>
      <w:bookmarkEnd w:id="34"/>
      <w:bookmarkEnd w:id="35"/>
      <w:r>
        <w:t xml:space="preserve"> </w:t>
      </w:r>
    </w:p>
    <w:p w14:paraId="3BB61A34" w14:textId="54181082" w:rsidR="007F127F" w:rsidRDefault="008E35E5" w:rsidP="007F17DE">
      <w:pPr>
        <w:rPr>
          <w:rStyle w:val="Hyperlink"/>
        </w:rPr>
      </w:pPr>
      <w:r w:rsidRPr="00C51142">
        <w:t xml:space="preserve">Meaningful public participation in the budget process is essential </w:t>
      </w:r>
      <w:r>
        <w:t>in order to</w:t>
      </w:r>
      <w:r w:rsidRPr="00C51142">
        <w:t xml:space="preserve"> mak</w:t>
      </w:r>
      <w:r>
        <w:t>e</w:t>
      </w:r>
      <w:r w:rsidRPr="00C51142">
        <w:t xml:space="preserve"> sure</w:t>
      </w:r>
      <w:r>
        <w:t xml:space="preserve"> that</w:t>
      </w:r>
      <w:r w:rsidRPr="00C51142">
        <w:t xml:space="preserve"> decisions</w:t>
      </w:r>
      <w:r>
        <w:t xml:space="preserve"> taken,</w:t>
      </w:r>
      <w:r w:rsidRPr="00C51142">
        <w:t xml:space="preserve"> reflect how the public want</w:t>
      </w:r>
      <w:r>
        <w:t xml:space="preserve"> the</w:t>
      </w:r>
      <w:r w:rsidRPr="00C51142">
        <w:t xml:space="preserve"> government </w:t>
      </w:r>
      <w:r>
        <w:t>to</w:t>
      </w:r>
      <w:r w:rsidRPr="00C51142">
        <w:t xml:space="preserve"> raise</w:t>
      </w:r>
      <w:r>
        <w:t>, allocate and spend its resources</w:t>
      </w:r>
      <w:r w:rsidRPr="00C51142">
        <w:t xml:space="preserve">. </w:t>
      </w:r>
      <w:r>
        <w:t xml:space="preserve">For more information, </w:t>
      </w:r>
      <w:r w:rsidR="007F127F">
        <w:t xml:space="preserve">see </w:t>
      </w:r>
      <w:hyperlink r:id="rId9" w:history="1">
        <w:r w:rsidR="007F127F" w:rsidRPr="00AB0600">
          <w:rPr>
            <w:rStyle w:val="Hyperlink"/>
          </w:rPr>
          <w:t>the Global Initiative for Fiscal Transparency's website for examples innovative public participation practices around the world</w:t>
        </w:r>
      </w:hyperlink>
      <w:r w:rsidR="007F127F">
        <w:rPr>
          <w:rStyle w:val="Hyperlink"/>
        </w:rPr>
        <w:t>.</w:t>
      </w:r>
    </w:p>
    <w:p w14:paraId="4595B5A7" w14:textId="46FBB6C9" w:rsidR="008E35E5" w:rsidRDefault="008E35E5" w:rsidP="007F17DE">
      <w:r>
        <w:t xml:space="preserve">The OBS assesses the formal opportunities offered to the public for meaningful participation in the different stages of the budget process. Eighteen equally weighted indicators are used to examine the practices of </w:t>
      </w:r>
      <w:r w:rsidR="00EA7BC7">
        <w:t>a</w:t>
      </w:r>
      <w:r>
        <w:t xml:space="preserve"> government’s </w:t>
      </w:r>
      <w:r w:rsidR="00EA7BC7">
        <w:t>E</w:t>
      </w:r>
      <w:r>
        <w:t xml:space="preserve">xecutive, the </w:t>
      </w:r>
      <w:r w:rsidR="00EA7BC7">
        <w:t>L</w:t>
      </w:r>
      <w:r>
        <w:t xml:space="preserve">egislature, and the </w:t>
      </w:r>
      <w:r w:rsidR="00EA7BC7">
        <w:t>S</w:t>
      </w:r>
      <w:r>
        <w:t xml:space="preserve">upreme </w:t>
      </w:r>
      <w:r w:rsidR="00EA7BC7">
        <w:t>A</w:t>
      </w:r>
      <w:r>
        <w:t xml:space="preserve">udit institution (SAI).  These are aligned with the Global Initiative for Fiscal Transparency’s Principles of Public Participation in Fiscal Policies, scoring each country on a scale from 0 to 100. </w:t>
      </w:r>
    </w:p>
    <w:p w14:paraId="1188B413" w14:textId="73D7C311" w:rsidR="00240625" w:rsidRDefault="00C57B2E" w:rsidP="007F17DE">
      <w:bookmarkStart w:id="36" w:name="_Hlk165913090"/>
      <w:r>
        <w:t xml:space="preserve">The 2023 score of </w:t>
      </w:r>
      <w:r w:rsidRPr="000C75F8">
        <w:rPr>
          <w:b/>
          <w:bCs/>
        </w:rPr>
        <w:t>43</w:t>
      </w:r>
      <w:r>
        <w:t xml:space="preserve">, although reflecting only limited public participation opportunities, was a noted improvement from a score of </w:t>
      </w:r>
      <w:r w:rsidRPr="000C75F8">
        <w:rPr>
          <w:b/>
          <w:bCs/>
        </w:rPr>
        <w:t>20</w:t>
      </w:r>
      <w:r>
        <w:t xml:space="preserve"> in the 2019 Survey. </w:t>
      </w:r>
      <w:r w:rsidR="00EB7225">
        <w:t xml:space="preserve"> </w:t>
      </w:r>
    </w:p>
    <w:bookmarkEnd w:id="36"/>
    <w:p w14:paraId="05F70381" w14:textId="262672BC" w:rsidR="00BC734E" w:rsidRDefault="00BC734E" w:rsidP="007F17DE">
      <w:r>
        <w:t xml:space="preserve">This means that the 2021/2022 Scottish Budget </w:t>
      </w:r>
      <w:r w:rsidRPr="007B384F">
        <w:t xml:space="preserve">provided </w:t>
      </w:r>
      <w:r w:rsidRPr="00883B80">
        <w:rPr>
          <w:b/>
          <w:bCs/>
        </w:rPr>
        <w:t>limited opportunities</w:t>
      </w:r>
      <w:r w:rsidRPr="007B384F">
        <w:t xml:space="preserve"> for public participation in the budget process</w:t>
      </w:r>
      <w:r w:rsidRPr="001C0351">
        <w:t xml:space="preserve"> (</w:t>
      </w:r>
      <w:r>
        <w:t>41-60</w:t>
      </w:r>
      <w:r w:rsidR="00063596">
        <w:t xml:space="preserve"> out of </w:t>
      </w:r>
      <w:r w:rsidRPr="001C0351">
        <w:t>100)</w:t>
      </w:r>
      <w:r>
        <w:t>.</w:t>
      </w:r>
    </w:p>
    <w:p w14:paraId="37635E35" w14:textId="178A56B3" w:rsidR="00BC734E" w:rsidRDefault="00BC734E" w:rsidP="007F17DE">
      <w:r>
        <w:t xml:space="preserve">As can be seen in </w:t>
      </w:r>
      <w:r w:rsidR="007B6560">
        <w:t>Table 8</w:t>
      </w:r>
      <w:r>
        <w:t xml:space="preserve"> below, Scotland is one of only a small number of comparison countries where progress has been made rather than stagnating or back sliding scores. </w:t>
      </w:r>
    </w:p>
    <w:p w14:paraId="3EDD20C9" w14:textId="77777777" w:rsidR="00240625" w:rsidRDefault="00240625" w:rsidP="007F17DE">
      <w:r>
        <w:br w:type="page"/>
      </w:r>
    </w:p>
    <w:p w14:paraId="20DDAAA8" w14:textId="251F7A07" w:rsidR="00EA17E7" w:rsidRDefault="00BC7F2E" w:rsidP="007F17DE">
      <w:bookmarkStart w:id="37" w:name="_Toc167112883"/>
      <w:r>
        <w:lastRenderedPageBreak/>
        <w:t xml:space="preserve">Table </w:t>
      </w:r>
      <w:r w:rsidR="00DB4D8C">
        <w:t xml:space="preserve">8 - </w:t>
      </w:r>
      <w:r>
        <w:t>Scotland’s OBS P</w:t>
      </w:r>
      <w:r w:rsidR="00EA17E7">
        <w:t>ublic Participation</w:t>
      </w:r>
      <w:r>
        <w:t xml:space="preserve"> scores</w:t>
      </w:r>
      <w:r w:rsidR="00EA17E7">
        <w:t xml:space="preserve"> compared to others</w:t>
      </w:r>
      <w:bookmarkEnd w:id="37"/>
      <w:r w:rsidR="00EA17E7">
        <w:t xml:space="preserve"> </w:t>
      </w:r>
    </w:p>
    <w:tbl>
      <w:tblPr>
        <w:tblStyle w:val="TableGrid"/>
        <w:tblW w:w="0" w:type="auto"/>
        <w:tblLook w:val="04A0" w:firstRow="1" w:lastRow="0" w:firstColumn="1" w:lastColumn="0" w:noHBand="0" w:noVBand="1"/>
        <w:tblCaption w:val="Scotland’s OBS Public Participation scores compared to others "/>
      </w:tblPr>
      <w:tblGrid>
        <w:gridCol w:w="3107"/>
        <w:gridCol w:w="3108"/>
        <w:gridCol w:w="3108"/>
      </w:tblGrid>
      <w:tr w:rsidR="00BC7F2E" w:rsidRPr="009A24BC" w14:paraId="0D782B1B" w14:textId="77777777" w:rsidTr="00E50E3E">
        <w:trPr>
          <w:cantSplit/>
          <w:tblHeader/>
        </w:trPr>
        <w:tc>
          <w:tcPr>
            <w:tcW w:w="3107" w:type="dxa"/>
            <w:shd w:val="clear" w:color="auto" w:fill="8BADDC"/>
          </w:tcPr>
          <w:p w14:paraId="09EA6E52" w14:textId="77777777" w:rsidR="00BC7F2E" w:rsidRPr="009A24BC" w:rsidRDefault="00BC7F2E" w:rsidP="00E50E3E">
            <w:pPr>
              <w:spacing w:before="0" w:after="0" w:line="360" w:lineRule="auto"/>
              <w:rPr>
                <w:b/>
                <w:bCs/>
              </w:rPr>
            </w:pPr>
            <w:bookmarkStart w:id="38" w:name="_Toc167112884"/>
            <w:r w:rsidRPr="009A24BC">
              <w:rPr>
                <w:b/>
                <w:bCs/>
              </w:rPr>
              <w:t>Country</w:t>
            </w:r>
          </w:p>
        </w:tc>
        <w:tc>
          <w:tcPr>
            <w:tcW w:w="3108" w:type="dxa"/>
            <w:shd w:val="clear" w:color="auto" w:fill="8BADDC"/>
          </w:tcPr>
          <w:p w14:paraId="019703D4" w14:textId="77777777" w:rsidR="00BC7F2E" w:rsidRPr="009A24BC" w:rsidRDefault="00BC7F2E" w:rsidP="00E50E3E">
            <w:pPr>
              <w:spacing w:before="0" w:after="0" w:line="360" w:lineRule="auto"/>
              <w:rPr>
                <w:b/>
                <w:bCs/>
              </w:rPr>
            </w:pPr>
            <w:r w:rsidRPr="009A24BC">
              <w:rPr>
                <w:b/>
                <w:bCs/>
              </w:rPr>
              <w:t>2019</w:t>
            </w:r>
          </w:p>
        </w:tc>
        <w:tc>
          <w:tcPr>
            <w:tcW w:w="3108" w:type="dxa"/>
            <w:shd w:val="clear" w:color="auto" w:fill="8BADDC"/>
          </w:tcPr>
          <w:p w14:paraId="197A8CCC" w14:textId="77777777" w:rsidR="00BC7F2E" w:rsidRPr="009A24BC" w:rsidRDefault="00BC7F2E" w:rsidP="00E50E3E">
            <w:pPr>
              <w:spacing w:before="0" w:after="0" w:line="360" w:lineRule="auto"/>
              <w:rPr>
                <w:b/>
                <w:bCs/>
              </w:rPr>
            </w:pPr>
            <w:r w:rsidRPr="009A24BC">
              <w:rPr>
                <w:b/>
                <w:bCs/>
              </w:rPr>
              <w:t>2023</w:t>
            </w:r>
          </w:p>
        </w:tc>
      </w:tr>
      <w:tr w:rsidR="00BC7F2E" w14:paraId="06B69337" w14:textId="77777777" w:rsidTr="00E50E3E">
        <w:tc>
          <w:tcPr>
            <w:tcW w:w="3107" w:type="dxa"/>
          </w:tcPr>
          <w:p w14:paraId="561A643D" w14:textId="7D6E8D10" w:rsidR="00BC7F2E" w:rsidRDefault="00BC7F2E" w:rsidP="00E50E3E">
            <w:pPr>
              <w:spacing w:before="0" w:after="0" w:line="360" w:lineRule="auto"/>
            </w:pPr>
            <w:r>
              <w:t>New Zealand</w:t>
            </w:r>
          </w:p>
        </w:tc>
        <w:tc>
          <w:tcPr>
            <w:tcW w:w="3108" w:type="dxa"/>
          </w:tcPr>
          <w:p w14:paraId="4D846DE9" w14:textId="1E9D8D09" w:rsidR="00BC7F2E" w:rsidRDefault="00BC7F2E" w:rsidP="00E50E3E">
            <w:pPr>
              <w:spacing w:before="0" w:after="0" w:line="360" w:lineRule="auto"/>
            </w:pPr>
            <w:r>
              <w:t>54</w:t>
            </w:r>
          </w:p>
        </w:tc>
        <w:tc>
          <w:tcPr>
            <w:tcW w:w="3108" w:type="dxa"/>
          </w:tcPr>
          <w:p w14:paraId="6C795B75" w14:textId="2CC69F57" w:rsidR="00BC7F2E" w:rsidRDefault="00BC7F2E" w:rsidP="00E50E3E">
            <w:pPr>
              <w:spacing w:before="0" w:after="0" w:line="360" w:lineRule="auto"/>
            </w:pPr>
            <w:r>
              <w:t>5</w:t>
            </w:r>
            <w:r w:rsidR="006F5334">
              <w:t>5</w:t>
            </w:r>
          </w:p>
        </w:tc>
      </w:tr>
      <w:tr w:rsidR="00BC7F2E" w14:paraId="5129D288" w14:textId="77777777" w:rsidTr="00E50E3E">
        <w:tc>
          <w:tcPr>
            <w:tcW w:w="3107" w:type="dxa"/>
          </w:tcPr>
          <w:p w14:paraId="253A5443" w14:textId="446E22A4" w:rsidR="00BC7F2E" w:rsidRDefault="00BC7F2E" w:rsidP="00E50E3E">
            <w:pPr>
              <w:spacing w:before="0" w:after="0" w:line="360" w:lineRule="auto"/>
            </w:pPr>
            <w:r>
              <w:t>United Kingdom</w:t>
            </w:r>
          </w:p>
        </w:tc>
        <w:tc>
          <w:tcPr>
            <w:tcW w:w="3108" w:type="dxa"/>
          </w:tcPr>
          <w:p w14:paraId="49BF596B" w14:textId="17E417EB" w:rsidR="00BC7F2E" w:rsidRDefault="00BC7F2E" w:rsidP="00E50E3E">
            <w:pPr>
              <w:spacing w:before="0" w:after="0" w:line="360" w:lineRule="auto"/>
            </w:pPr>
            <w:r>
              <w:t>61</w:t>
            </w:r>
          </w:p>
        </w:tc>
        <w:tc>
          <w:tcPr>
            <w:tcW w:w="3108" w:type="dxa"/>
          </w:tcPr>
          <w:p w14:paraId="4CD637DC" w14:textId="455E8B42" w:rsidR="00BC7F2E" w:rsidRDefault="00BC7F2E" w:rsidP="00E50E3E">
            <w:pPr>
              <w:spacing w:before="0" w:after="0" w:line="360" w:lineRule="auto"/>
            </w:pPr>
            <w:r>
              <w:t>54</w:t>
            </w:r>
          </w:p>
        </w:tc>
      </w:tr>
      <w:tr w:rsidR="00BC7F2E" w14:paraId="7517B64F" w14:textId="77777777" w:rsidTr="00E50E3E">
        <w:tc>
          <w:tcPr>
            <w:tcW w:w="3107" w:type="dxa"/>
          </w:tcPr>
          <w:p w14:paraId="4C7E7C8E" w14:textId="1D0F1F54" w:rsidR="00BC7F2E" w:rsidRDefault="00BC7F2E" w:rsidP="00E50E3E">
            <w:pPr>
              <w:spacing w:before="0" w:after="0" w:line="360" w:lineRule="auto"/>
            </w:pPr>
            <w:r>
              <w:t>Scotland</w:t>
            </w:r>
          </w:p>
        </w:tc>
        <w:tc>
          <w:tcPr>
            <w:tcW w:w="3108" w:type="dxa"/>
          </w:tcPr>
          <w:p w14:paraId="2B7D2290" w14:textId="08272EE8" w:rsidR="00BC7F2E" w:rsidRDefault="00BC7F2E" w:rsidP="00E50E3E">
            <w:pPr>
              <w:spacing w:before="0" w:after="0" w:line="360" w:lineRule="auto"/>
            </w:pPr>
            <w:r>
              <w:t>20</w:t>
            </w:r>
          </w:p>
        </w:tc>
        <w:tc>
          <w:tcPr>
            <w:tcW w:w="3108" w:type="dxa"/>
          </w:tcPr>
          <w:p w14:paraId="7AA3B305" w14:textId="7204FC4B" w:rsidR="00BC7F2E" w:rsidRDefault="00BC7F2E" w:rsidP="00E50E3E">
            <w:pPr>
              <w:spacing w:before="0" w:after="0" w:line="360" w:lineRule="auto"/>
            </w:pPr>
            <w:r>
              <w:t>43</w:t>
            </w:r>
          </w:p>
        </w:tc>
      </w:tr>
      <w:tr w:rsidR="00BC7F2E" w14:paraId="4D1B9B62" w14:textId="77777777" w:rsidTr="00E50E3E">
        <w:tc>
          <w:tcPr>
            <w:tcW w:w="3107" w:type="dxa"/>
          </w:tcPr>
          <w:p w14:paraId="29B9D954" w14:textId="3408C0BE" w:rsidR="00BC7F2E" w:rsidRDefault="00BC7F2E" w:rsidP="00E50E3E">
            <w:pPr>
              <w:spacing w:before="0" w:after="0" w:line="360" w:lineRule="auto"/>
            </w:pPr>
            <w:r>
              <w:t>France</w:t>
            </w:r>
          </w:p>
        </w:tc>
        <w:tc>
          <w:tcPr>
            <w:tcW w:w="3108" w:type="dxa"/>
          </w:tcPr>
          <w:p w14:paraId="59D34341" w14:textId="44A4E98A" w:rsidR="00BC7F2E" w:rsidRDefault="00BC7F2E" w:rsidP="00E50E3E">
            <w:pPr>
              <w:spacing w:before="0" w:after="0" w:line="360" w:lineRule="auto"/>
            </w:pPr>
            <w:r>
              <w:t>18</w:t>
            </w:r>
          </w:p>
        </w:tc>
        <w:tc>
          <w:tcPr>
            <w:tcW w:w="3108" w:type="dxa"/>
          </w:tcPr>
          <w:p w14:paraId="18C8095B" w14:textId="1617E11D" w:rsidR="00BC7F2E" w:rsidRDefault="00BC7F2E" w:rsidP="00E50E3E">
            <w:pPr>
              <w:spacing w:before="0" w:after="0" w:line="360" w:lineRule="auto"/>
            </w:pPr>
            <w:r>
              <w:t>37</w:t>
            </w:r>
          </w:p>
        </w:tc>
      </w:tr>
      <w:tr w:rsidR="00BC7F2E" w14:paraId="2FD0B9CF" w14:textId="77777777" w:rsidTr="00E50E3E">
        <w:tc>
          <w:tcPr>
            <w:tcW w:w="3107" w:type="dxa"/>
          </w:tcPr>
          <w:p w14:paraId="3724E8B3" w14:textId="275E5A74" w:rsidR="00BC7F2E" w:rsidRDefault="00BC7F2E" w:rsidP="00E50E3E">
            <w:pPr>
              <w:spacing w:before="0" w:after="0" w:line="360" w:lineRule="auto"/>
            </w:pPr>
            <w:r>
              <w:t>Portugal</w:t>
            </w:r>
          </w:p>
        </w:tc>
        <w:tc>
          <w:tcPr>
            <w:tcW w:w="3108" w:type="dxa"/>
          </w:tcPr>
          <w:p w14:paraId="1DFFFCA9" w14:textId="27EB8E6A" w:rsidR="00BC7F2E" w:rsidRDefault="00BC7F2E" w:rsidP="00E50E3E">
            <w:pPr>
              <w:spacing w:before="0" w:after="0" w:line="360" w:lineRule="auto"/>
            </w:pPr>
            <w:r>
              <w:t>26</w:t>
            </w:r>
          </w:p>
        </w:tc>
        <w:tc>
          <w:tcPr>
            <w:tcW w:w="3108" w:type="dxa"/>
          </w:tcPr>
          <w:p w14:paraId="008CACE0" w14:textId="31CCCF0B" w:rsidR="00BC7F2E" w:rsidRDefault="00BC7F2E" w:rsidP="00E50E3E">
            <w:pPr>
              <w:spacing w:before="0" w:after="0" w:line="360" w:lineRule="auto"/>
            </w:pPr>
            <w:r>
              <w:t>28</w:t>
            </w:r>
          </w:p>
        </w:tc>
      </w:tr>
      <w:tr w:rsidR="00BC7F2E" w14:paraId="4FC73003" w14:textId="77777777" w:rsidTr="00E50E3E">
        <w:tc>
          <w:tcPr>
            <w:tcW w:w="3107" w:type="dxa"/>
          </w:tcPr>
          <w:p w14:paraId="75750906" w14:textId="72696C10" w:rsidR="00BC7F2E" w:rsidRDefault="00BC7F2E" w:rsidP="00E50E3E">
            <w:pPr>
              <w:spacing w:before="0" w:after="0" w:line="360" w:lineRule="auto"/>
            </w:pPr>
            <w:r>
              <w:t>Canada</w:t>
            </w:r>
          </w:p>
        </w:tc>
        <w:tc>
          <w:tcPr>
            <w:tcW w:w="3108" w:type="dxa"/>
          </w:tcPr>
          <w:p w14:paraId="25E813D2" w14:textId="3B3423E8" w:rsidR="00BC7F2E" w:rsidRDefault="00BC7F2E" w:rsidP="00E50E3E">
            <w:pPr>
              <w:spacing w:before="0" w:after="0" w:line="360" w:lineRule="auto"/>
            </w:pPr>
            <w:r>
              <w:t>26</w:t>
            </w:r>
          </w:p>
        </w:tc>
        <w:tc>
          <w:tcPr>
            <w:tcW w:w="3108" w:type="dxa"/>
          </w:tcPr>
          <w:p w14:paraId="534D190F" w14:textId="3BDA8658" w:rsidR="00BC7F2E" w:rsidRDefault="00BC7F2E" w:rsidP="00E50E3E">
            <w:pPr>
              <w:spacing w:before="0" w:after="0" w:line="360" w:lineRule="auto"/>
            </w:pPr>
            <w:r>
              <w:t>26</w:t>
            </w:r>
          </w:p>
        </w:tc>
      </w:tr>
      <w:tr w:rsidR="00BC7F2E" w14:paraId="5C443899" w14:textId="77777777" w:rsidTr="00E50E3E">
        <w:tc>
          <w:tcPr>
            <w:tcW w:w="3107" w:type="dxa"/>
          </w:tcPr>
          <w:p w14:paraId="2789BB95" w14:textId="63A970B8" w:rsidR="00BC7F2E" w:rsidRDefault="00BC7F2E" w:rsidP="00E50E3E">
            <w:pPr>
              <w:spacing w:before="0" w:after="0" w:line="360" w:lineRule="auto"/>
            </w:pPr>
            <w:r>
              <w:t>Norway</w:t>
            </w:r>
          </w:p>
        </w:tc>
        <w:tc>
          <w:tcPr>
            <w:tcW w:w="3108" w:type="dxa"/>
          </w:tcPr>
          <w:p w14:paraId="69EE0A75" w14:textId="490CE122" w:rsidR="00BC7F2E" w:rsidRDefault="00BC7F2E" w:rsidP="00E50E3E">
            <w:pPr>
              <w:spacing w:before="0" w:after="0" w:line="360" w:lineRule="auto"/>
            </w:pPr>
            <w:r>
              <w:t>17</w:t>
            </w:r>
          </w:p>
        </w:tc>
        <w:tc>
          <w:tcPr>
            <w:tcW w:w="3108" w:type="dxa"/>
          </w:tcPr>
          <w:p w14:paraId="6C1427B5" w14:textId="3B87DD83" w:rsidR="00BC7F2E" w:rsidRDefault="00BC7F2E" w:rsidP="00E50E3E">
            <w:pPr>
              <w:spacing w:before="0" w:after="0" w:line="360" w:lineRule="auto"/>
            </w:pPr>
            <w:r>
              <w:t>24</w:t>
            </w:r>
          </w:p>
        </w:tc>
      </w:tr>
      <w:tr w:rsidR="00BC7F2E" w14:paraId="6E0896B7" w14:textId="77777777" w:rsidTr="00E50E3E">
        <w:tc>
          <w:tcPr>
            <w:tcW w:w="3107" w:type="dxa"/>
          </w:tcPr>
          <w:p w14:paraId="403C2A83" w14:textId="7880A058" w:rsidR="00BC7F2E" w:rsidRDefault="00BC7F2E" w:rsidP="00E50E3E">
            <w:pPr>
              <w:spacing w:before="0" w:after="0" w:line="360" w:lineRule="auto"/>
            </w:pPr>
            <w:r>
              <w:t>Participating OECD Countries</w:t>
            </w:r>
          </w:p>
        </w:tc>
        <w:tc>
          <w:tcPr>
            <w:tcW w:w="3108" w:type="dxa"/>
          </w:tcPr>
          <w:p w14:paraId="5F37B0C4" w14:textId="0987C5C7" w:rsidR="00BC7F2E" w:rsidRDefault="00BC7F2E" w:rsidP="00E50E3E">
            <w:pPr>
              <w:spacing w:before="0" w:after="0" w:line="360" w:lineRule="auto"/>
            </w:pPr>
            <w:r>
              <w:t>27</w:t>
            </w:r>
          </w:p>
        </w:tc>
        <w:tc>
          <w:tcPr>
            <w:tcW w:w="3108" w:type="dxa"/>
          </w:tcPr>
          <w:p w14:paraId="76852C7C" w14:textId="40BE4619" w:rsidR="00BC7F2E" w:rsidRDefault="00BC7F2E" w:rsidP="00E50E3E">
            <w:pPr>
              <w:spacing w:before="0" w:after="0" w:line="360" w:lineRule="auto"/>
            </w:pPr>
            <w:r>
              <w:t>22</w:t>
            </w:r>
          </w:p>
        </w:tc>
      </w:tr>
      <w:tr w:rsidR="00BC7F2E" w14:paraId="01E777C7" w14:textId="77777777" w:rsidTr="00E50E3E">
        <w:tc>
          <w:tcPr>
            <w:tcW w:w="3107" w:type="dxa"/>
          </w:tcPr>
          <w:p w14:paraId="5A8AEC7B" w14:textId="35D6AEB9" w:rsidR="00BC7F2E" w:rsidRDefault="00BC7F2E" w:rsidP="00E50E3E">
            <w:pPr>
              <w:spacing w:before="0" w:after="0" w:line="360" w:lineRule="auto"/>
            </w:pPr>
            <w:r>
              <w:t>United States</w:t>
            </w:r>
          </w:p>
        </w:tc>
        <w:tc>
          <w:tcPr>
            <w:tcW w:w="3108" w:type="dxa"/>
          </w:tcPr>
          <w:p w14:paraId="1E9F0A38" w14:textId="2D18219E" w:rsidR="00BC7F2E" w:rsidRDefault="00BC7F2E" w:rsidP="00E50E3E">
            <w:pPr>
              <w:spacing w:before="0" w:after="0" w:line="360" w:lineRule="auto"/>
            </w:pPr>
            <w:r>
              <w:t>22</w:t>
            </w:r>
          </w:p>
        </w:tc>
        <w:tc>
          <w:tcPr>
            <w:tcW w:w="3108" w:type="dxa"/>
          </w:tcPr>
          <w:p w14:paraId="5657D086" w14:textId="21F23459" w:rsidR="00BC7F2E" w:rsidRDefault="00BC7F2E" w:rsidP="00E50E3E">
            <w:pPr>
              <w:spacing w:before="0" w:after="0" w:line="360" w:lineRule="auto"/>
            </w:pPr>
            <w:r>
              <w:t>22</w:t>
            </w:r>
          </w:p>
        </w:tc>
      </w:tr>
      <w:tr w:rsidR="00BC7F2E" w14:paraId="0C40DD72" w14:textId="77777777" w:rsidTr="00E50E3E">
        <w:tc>
          <w:tcPr>
            <w:tcW w:w="3107" w:type="dxa"/>
          </w:tcPr>
          <w:p w14:paraId="27EAD1A1" w14:textId="004EEE6F" w:rsidR="00BC7F2E" w:rsidRDefault="00BC7F2E" w:rsidP="00E50E3E">
            <w:pPr>
              <w:spacing w:before="0" w:after="0" w:line="360" w:lineRule="auto"/>
            </w:pPr>
            <w:r>
              <w:t>Sweden</w:t>
            </w:r>
          </w:p>
        </w:tc>
        <w:tc>
          <w:tcPr>
            <w:tcW w:w="3108" w:type="dxa"/>
          </w:tcPr>
          <w:p w14:paraId="7678DA24" w14:textId="07860AE6" w:rsidR="00BC7F2E" w:rsidRDefault="00BC7F2E" w:rsidP="00E50E3E">
            <w:pPr>
              <w:spacing w:before="0" w:after="0" w:line="360" w:lineRule="auto"/>
            </w:pPr>
            <w:r>
              <w:t>19</w:t>
            </w:r>
          </w:p>
        </w:tc>
        <w:tc>
          <w:tcPr>
            <w:tcW w:w="3108" w:type="dxa"/>
          </w:tcPr>
          <w:p w14:paraId="155580F4" w14:textId="27B68F8D" w:rsidR="00BC7F2E" w:rsidRDefault="00BC7F2E" w:rsidP="00E50E3E">
            <w:pPr>
              <w:spacing w:before="0" w:after="0" w:line="360" w:lineRule="auto"/>
            </w:pPr>
            <w:r>
              <w:t>18</w:t>
            </w:r>
          </w:p>
        </w:tc>
      </w:tr>
      <w:tr w:rsidR="00BC7F2E" w14:paraId="5338D7E9" w14:textId="77777777" w:rsidTr="00E50E3E">
        <w:tc>
          <w:tcPr>
            <w:tcW w:w="3107" w:type="dxa"/>
          </w:tcPr>
          <w:p w14:paraId="2F7C18DC" w14:textId="77777777" w:rsidR="00BC7F2E" w:rsidRDefault="00BC7F2E" w:rsidP="00E50E3E">
            <w:pPr>
              <w:spacing w:before="0" w:after="0" w:line="360" w:lineRule="auto"/>
            </w:pPr>
            <w:r>
              <w:t>Germany</w:t>
            </w:r>
          </w:p>
        </w:tc>
        <w:tc>
          <w:tcPr>
            <w:tcW w:w="3108" w:type="dxa"/>
          </w:tcPr>
          <w:p w14:paraId="46D27D79" w14:textId="3806FF56" w:rsidR="00BC7F2E" w:rsidRDefault="00BC7F2E" w:rsidP="00E50E3E">
            <w:pPr>
              <w:spacing w:before="0" w:after="0" w:line="360" w:lineRule="auto"/>
            </w:pPr>
            <w:r>
              <w:t>15</w:t>
            </w:r>
          </w:p>
        </w:tc>
        <w:tc>
          <w:tcPr>
            <w:tcW w:w="3108" w:type="dxa"/>
          </w:tcPr>
          <w:p w14:paraId="142464B9" w14:textId="2C6188EC" w:rsidR="00BC7F2E" w:rsidRDefault="00BC7F2E" w:rsidP="00E50E3E">
            <w:pPr>
              <w:spacing w:before="0" w:after="0" w:line="360" w:lineRule="auto"/>
            </w:pPr>
            <w:r>
              <w:t>17</w:t>
            </w:r>
          </w:p>
        </w:tc>
      </w:tr>
      <w:tr w:rsidR="00BC7F2E" w14:paraId="4354D2F5" w14:textId="77777777" w:rsidTr="00E50E3E">
        <w:tc>
          <w:tcPr>
            <w:tcW w:w="3107" w:type="dxa"/>
          </w:tcPr>
          <w:p w14:paraId="46BFE328" w14:textId="15BF8DDA" w:rsidR="00BC7F2E" w:rsidRDefault="00BC7F2E" w:rsidP="00E50E3E">
            <w:pPr>
              <w:spacing w:before="0" w:after="0" w:line="360" w:lineRule="auto"/>
            </w:pPr>
            <w:r>
              <w:t>Global average</w:t>
            </w:r>
          </w:p>
        </w:tc>
        <w:tc>
          <w:tcPr>
            <w:tcW w:w="3108" w:type="dxa"/>
          </w:tcPr>
          <w:p w14:paraId="4A7A4362" w14:textId="7AEFF4F6" w:rsidR="00BC7F2E" w:rsidRDefault="00BC7F2E" w:rsidP="00E50E3E">
            <w:pPr>
              <w:spacing w:before="0" w:after="0" w:line="360" w:lineRule="auto"/>
            </w:pPr>
            <w:r>
              <w:t>14</w:t>
            </w:r>
          </w:p>
        </w:tc>
        <w:tc>
          <w:tcPr>
            <w:tcW w:w="3108" w:type="dxa"/>
          </w:tcPr>
          <w:p w14:paraId="4F77D5E0" w14:textId="4BCC955D" w:rsidR="00BC7F2E" w:rsidRDefault="00BC7F2E" w:rsidP="00E50E3E">
            <w:pPr>
              <w:spacing w:before="0" w:after="0" w:line="360" w:lineRule="auto"/>
            </w:pPr>
            <w:r>
              <w:t>15</w:t>
            </w:r>
          </w:p>
        </w:tc>
      </w:tr>
      <w:tr w:rsidR="00BC7F2E" w14:paraId="55A4DFD0" w14:textId="77777777" w:rsidTr="00E50E3E">
        <w:tc>
          <w:tcPr>
            <w:tcW w:w="3107" w:type="dxa"/>
          </w:tcPr>
          <w:p w14:paraId="282DE004" w14:textId="6287DB4B" w:rsidR="00BC7F2E" w:rsidRDefault="00BC7F2E" w:rsidP="00E50E3E">
            <w:pPr>
              <w:spacing w:before="0" w:after="0" w:line="360" w:lineRule="auto"/>
            </w:pPr>
            <w:r>
              <w:t>Italy</w:t>
            </w:r>
          </w:p>
        </w:tc>
        <w:tc>
          <w:tcPr>
            <w:tcW w:w="3108" w:type="dxa"/>
          </w:tcPr>
          <w:p w14:paraId="02F7B939" w14:textId="27FF3336" w:rsidR="00BC7F2E" w:rsidRDefault="00BC7F2E" w:rsidP="00E50E3E">
            <w:pPr>
              <w:spacing w:before="0" w:after="0" w:line="360" w:lineRule="auto"/>
            </w:pPr>
            <w:r>
              <w:t>11</w:t>
            </w:r>
          </w:p>
        </w:tc>
        <w:tc>
          <w:tcPr>
            <w:tcW w:w="3108" w:type="dxa"/>
          </w:tcPr>
          <w:p w14:paraId="748962EC" w14:textId="6EF349EB" w:rsidR="00BC7F2E" w:rsidRDefault="00BC7F2E" w:rsidP="00E50E3E">
            <w:pPr>
              <w:spacing w:before="0" w:after="0" w:line="360" w:lineRule="auto"/>
            </w:pPr>
            <w:r>
              <w:t>15</w:t>
            </w:r>
          </w:p>
        </w:tc>
      </w:tr>
      <w:tr w:rsidR="00BC7F2E" w14:paraId="7FF99310" w14:textId="77777777" w:rsidTr="00E50E3E">
        <w:tc>
          <w:tcPr>
            <w:tcW w:w="3107" w:type="dxa"/>
          </w:tcPr>
          <w:p w14:paraId="312B0482" w14:textId="6BB04CEA" w:rsidR="00BC7F2E" w:rsidRDefault="00BC7F2E" w:rsidP="00E50E3E">
            <w:pPr>
              <w:spacing w:before="0" w:after="0" w:line="360" w:lineRule="auto"/>
            </w:pPr>
            <w:r>
              <w:t>Spain</w:t>
            </w:r>
          </w:p>
        </w:tc>
        <w:tc>
          <w:tcPr>
            <w:tcW w:w="3108" w:type="dxa"/>
          </w:tcPr>
          <w:p w14:paraId="5A58AFD0" w14:textId="0476C660" w:rsidR="00BC7F2E" w:rsidRDefault="00BC7F2E" w:rsidP="00E50E3E">
            <w:pPr>
              <w:spacing w:before="0" w:after="0" w:line="360" w:lineRule="auto"/>
            </w:pPr>
            <w:r>
              <w:t>2</w:t>
            </w:r>
          </w:p>
        </w:tc>
        <w:tc>
          <w:tcPr>
            <w:tcW w:w="3108" w:type="dxa"/>
          </w:tcPr>
          <w:p w14:paraId="175DAE6F" w14:textId="64686515" w:rsidR="00BC7F2E" w:rsidRDefault="00BC7F2E" w:rsidP="00E50E3E">
            <w:pPr>
              <w:spacing w:before="0" w:after="0" w:line="360" w:lineRule="auto"/>
            </w:pPr>
            <w:r>
              <w:t>2</w:t>
            </w:r>
          </w:p>
        </w:tc>
      </w:tr>
    </w:tbl>
    <w:p w14:paraId="662E1D6C" w14:textId="4486FED1" w:rsidR="0033343E" w:rsidRDefault="0033343E">
      <w:pPr>
        <w:spacing w:before="0" w:after="0" w:line="360" w:lineRule="auto"/>
        <w:rPr>
          <w:b/>
          <w:kern w:val="24"/>
          <w:sz w:val="32"/>
          <w:szCs w:val="32"/>
        </w:rPr>
      </w:pPr>
    </w:p>
    <w:p w14:paraId="1022BBE4" w14:textId="77777777" w:rsidR="00BC7F2E" w:rsidRDefault="00BC7F2E">
      <w:pPr>
        <w:spacing w:before="0" w:after="0" w:line="360" w:lineRule="auto"/>
        <w:rPr>
          <w:b/>
          <w:kern w:val="24"/>
          <w:sz w:val="32"/>
          <w:szCs w:val="32"/>
        </w:rPr>
      </w:pPr>
      <w:r>
        <w:br w:type="page"/>
      </w:r>
    </w:p>
    <w:p w14:paraId="4470FA6B" w14:textId="79C4DB6C" w:rsidR="00EA17E7" w:rsidRDefault="00EA17E7" w:rsidP="007F17DE">
      <w:pPr>
        <w:pStyle w:val="Heading3"/>
        <w:spacing w:line="276" w:lineRule="auto"/>
      </w:pPr>
      <w:bookmarkStart w:id="39" w:name="_Toc167782857"/>
      <w:r>
        <w:lastRenderedPageBreak/>
        <w:t>What changed in OBS 2023 from OBS 2019?</w:t>
      </w:r>
      <w:bookmarkEnd w:id="38"/>
      <w:bookmarkEnd w:id="39"/>
    </w:p>
    <w:p w14:paraId="12C83D6B" w14:textId="3D43B995" w:rsidR="00C57B2E" w:rsidRDefault="00C57B2E" w:rsidP="007F17DE">
      <w:bookmarkStart w:id="40" w:name="_Hlk165276288"/>
      <w:r>
        <w:t xml:space="preserve">The main reasons for this improved score come from the publication of a citizen’s version of the Enacted Budget: </w:t>
      </w:r>
      <w:r w:rsidRPr="00C57B2E">
        <w:t>Your Scotland, Your Finances: 2021-22 Scottish Budget: Key facts and figures for 2021-22</w:t>
      </w:r>
      <w:r>
        <w:rPr>
          <w:rStyle w:val="EndnoteReference"/>
          <w:color w:val="0000FF"/>
          <w:u w:val="single"/>
        </w:rPr>
        <w:endnoteReference w:id="14"/>
      </w:r>
      <w:r w:rsidR="00EA17E7">
        <w:t>.</w:t>
      </w:r>
    </w:p>
    <w:bookmarkEnd w:id="40"/>
    <w:p w14:paraId="26E8F994" w14:textId="77777777" w:rsidR="00C57B2E" w:rsidRDefault="00C57B2E" w:rsidP="007F17DE">
      <w:r>
        <w:t xml:space="preserve">However, there remains much progress to be made, some of which could be achieved quickly. </w:t>
      </w:r>
    </w:p>
    <w:p w14:paraId="52BB7616" w14:textId="77777777" w:rsidR="00C57B2E" w:rsidRDefault="00C57B2E" w:rsidP="007F17DE">
      <w:r>
        <w:t>Providing a citizen’s version of only the enacted budget does not support active participation in the decision making stages.  More is required to ensure people have access to information before decisions have been made. Although there was a welcomed increase in the information shared (as is reflected in the transparency score) this has not translated to an increase in the ability to engage with the budget. Documents are shared which tell people of decisions after the fact, rather than providing them with the tools that they need to meaningfully engage. This was undoubtedly  made more difficult by the pandemic reducing the time available between the budget document and the enacted budget - however, we are not aware of there ever having been plans to produce citizens’ versions of documents for the pre-budget and draft-budget stages. </w:t>
      </w:r>
    </w:p>
    <w:p w14:paraId="7CAE033A" w14:textId="12DFF882" w:rsidR="00C57B2E" w:rsidRDefault="00C57B2E" w:rsidP="007F17DE">
      <w:r>
        <w:t>As was found in OBS 2019, although there was</w:t>
      </w:r>
      <w:r w:rsidRPr="001C0351">
        <w:t xml:space="preserve"> some public engagement during the draft budget process, </w:t>
      </w:r>
      <w:r>
        <w:t>this was coordinated through parliamentary and independent audit scrutiny, not by the Executive</w:t>
      </w:r>
      <w:r w:rsidR="00EA7BC7">
        <w:t xml:space="preserve"> (</w:t>
      </w:r>
      <w:r w:rsidR="00881916">
        <w:t>The Scottish Government</w:t>
      </w:r>
      <w:r w:rsidR="00EA7BC7">
        <w:t>)</w:t>
      </w:r>
      <w:r>
        <w:t xml:space="preserve">. Discussions with </w:t>
      </w:r>
      <w:r w:rsidR="00063596">
        <w:t>the</w:t>
      </w:r>
      <w:r w:rsidR="00881916">
        <w:t xml:space="preserve"> Scottish Government</w:t>
      </w:r>
      <w:r w:rsidR="00EA7BC7">
        <w:t xml:space="preserve"> </w:t>
      </w:r>
      <w:r>
        <w:t>during this study revealed that Cabinet Ministers and Parliamentary Committees share</w:t>
      </w:r>
      <w:r w:rsidR="00063596">
        <w:t>d</w:t>
      </w:r>
      <w:r>
        <w:t xml:space="preserve"> information derived from public participation sessions and consultations to inform budget decisions. However, tracking or finding this information for each Line Ministry/ Parliamentary Committee is not straightforward, nor is the process clear or obvious.</w:t>
      </w:r>
    </w:p>
    <w:p w14:paraId="3ABED516" w14:textId="77777777" w:rsidR="00C57B2E" w:rsidRDefault="00C57B2E" w:rsidP="007F17DE">
      <w:r>
        <w:t>There is</w:t>
      </w:r>
      <w:r w:rsidRPr="001C0351">
        <w:t xml:space="preserve"> </w:t>
      </w:r>
      <w:r>
        <w:t xml:space="preserve">also </w:t>
      </w:r>
      <w:r w:rsidRPr="001C0351">
        <w:t xml:space="preserve">little to no sign of engagement </w:t>
      </w:r>
      <w:r>
        <w:t>after the early budget stages.</w:t>
      </w:r>
    </w:p>
    <w:p w14:paraId="46018123" w14:textId="77777777" w:rsidR="00C57B2E" w:rsidRDefault="00C57B2E" w:rsidP="007F17DE">
      <w:r>
        <w:lastRenderedPageBreak/>
        <w:t>As was also the case in the OBS 2019, there</w:t>
      </w:r>
      <w:r w:rsidRPr="001C0351">
        <w:t xml:space="preserve"> </w:t>
      </w:r>
      <w:r>
        <w:t>remains only minimal</w:t>
      </w:r>
      <w:r w:rsidRPr="001C0351">
        <w:t xml:space="preserve"> feedback to participants who d</w:t>
      </w:r>
      <w:r>
        <w:t>o</w:t>
      </w:r>
      <w:r w:rsidRPr="001C0351">
        <w:t xml:space="preserve"> participate </w:t>
      </w:r>
      <w:r>
        <w:t xml:space="preserve">with Parliamentary Committees </w:t>
      </w:r>
      <w:r w:rsidRPr="001C0351">
        <w:t xml:space="preserve">and little in the way of accessible information provided. </w:t>
      </w:r>
    </w:p>
    <w:p w14:paraId="42C3F4E1" w14:textId="0D36B0D7" w:rsidR="00C57B2E" w:rsidRDefault="00C57B2E" w:rsidP="007F17DE">
      <w:r>
        <w:t xml:space="preserve">Good progress was made by Audit Scotland since OBS 2019 on their previous recommendation to </w:t>
      </w:r>
      <w:r>
        <w:rPr>
          <w:rStyle w:val="Emphasis"/>
          <w:i w:val="0"/>
          <w:iCs w:val="0"/>
        </w:rPr>
        <w:t>d</w:t>
      </w:r>
      <w:r w:rsidRPr="000B19F8">
        <w:rPr>
          <w:rStyle w:val="Emphasis"/>
          <w:i w:val="0"/>
          <w:iCs w:val="0"/>
        </w:rPr>
        <w:t>evelop a formal mechanism, to enable the public to contribute to audit investigations</w:t>
      </w:r>
      <w:r>
        <w:rPr>
          <w:rStyle w:val="Emphasis"/>
        </w:rPr>
        <w:t xml:space="preserve">. </w:t>
      </w:r>
      <w:r>
        <w:rPr>
          <w:rStyle w:val="Emphasis"/>
          <w:i w:val="0"/>
          <w:iCs w:val="0"/>
        </w:rPr>
        <w:t>Using</w:t>
      </w:r>
      <w:r>
        <w:t xml:space="preserve"> their</w:t>
      </w:r>
      <w:r w:rsidRPr="00C16905">
        <w:t xml:space="preserve"> audit scoping process </w:t>
      </w:r>
      <w:r>
        <w:t>to explore t</w:t>
      </w:r>
      <w:r w:rsidRPr="00C16905">
        <w:t>he nature and scope of performance and finance audits</w:t>
      </w:r>
      <w:r>
        <w:t>, Audit Scotland make use of</w:t>
      </w:r>
      <w:r w:rsidRPr="00C16905">
        <w:t xml:space="preserve"> an external Equalities and Human Rights Advisory Group</w:t>
      </w:r>
      <w:r w:rsidR="00063596">
        <w:t xml:space="preserve"> (EHRAG)</w:t>
      </w:r>
      <w:r>
        <w:rPr>
          <w:rStyle w:val="EndnoteReference"/>
        </w:rPr>
        <w:endnoteReference w:id="15"/>
      </w:r>
      <w:r w:rsidRPr="00C16905">
        <w:t xml:space="preserve"> to whom they bring scopes</w:t>
      </w:r>
      <w:r>
        <w:t xml:space="preserve"> for potential audits</w:t>
      </w:r>
      <w:r w:rsidRPr="00C16905">
        <w:t xml:space="preserve"> for discussion. </w:t>
      </w:r>
      <w:r>
        <w:t>The</w:t>
      </w:r>
      <w:r w:rsidRPr="00C16905">
        <w:t xml:space="preserve"> mechanisms through which the public can contribute to audit investigations</w:t>
      </w:r>
      <w:r>
        <w:t xml:space="preserve"> is determined on an audit by audit basis – based on advice from the EHRAG. Audit Scotland (with support from the Commission) undertook a </w:t>
      </w:r>
      <w:r w:rsidRPr="00C57B2E">
        <w:t>PANEL self-assessment</w:t>
      </w:r>
      <w:r>
        <w:rPr>
          <w:rStyle w:val="EndnoteReference"/>
        </w:rPr>
        <w:endnoteReference w:id="16"/>
      </w:r>
      <w:r>
        <w:t xml:space="preserve"> to understand how as an organisation to take a human rights based approach to their work. This has supported their organisation-wide understanding of the role of participation in their audits.</w:t>
      </w:r>
    </w:p>
    <w:p w14:paraId="43F7CE8B" w14:textId="77777777" w:rsidR="005E3D70" w:rsidRDefault="005E3D70" w:rsidP="007F17DE">
      <w:pPr>
        <w:rPr>
          <w:rFonts w:cstheme="minorHAnsi"/>
          <w:b/>
          <w:sz w:val="32"/>
          <w:szCs w:val="32"/>
        </w:rPr>
      </w:pPr>
      <w:bookmarkStart w:id="41" w:name="_Toc163647831"/>
      <w:r>
        <w:br w:type="page"/>
      </w:r>
    </w:p>
    <w:p w14:paraId="72963B6B" w14:textId="33B86497" w:rsidR="00C57B2E" w:rsidRDefault="00C57B2E" w:rsidP="007F17DE">
      <w:pPr>
        <w:pStyle w:val="Heading3"/>
        <w:spacing w:line="276" w:lineRule="auto"/>
      </w:pPr>
      <w:bookmarkStart w:id="42" w:name="_Toc167112885"/>
      <w:bookmarkStart w:id="43" w:name="_Toc167782858"/>
      <w:r>
        <w:lastRenderedPageBreak/>
        <w:t>Public Participation Recommendations</w:t>
      </w:r>
      <w:bookmarkEnd w:id="41"/>
      <w:bookmarkEnd w:id="42"/>
      <w:bookmarkEnd w:id="43"/>
    </w:p>
    <w:p w14:paraId="0872765B" w14:textId="77777777" w:rsidR="00C57B2E" w:rsidRDefault="00C57B2E" w:rsidP="007F17DE">
      <w:pPr>
        <w:pStyle w:val="Subtitle"/>
        <w:numPr>
          <w:ilvl w:val="0"/>
          <w:numId w:val="10"/>
        </w:numPr>
      </w:pPr>
      <w:r>
        <w:t>Produce a citizen’s version of each of the key documents to support public participation in decision making (</w:t>
      </w:r>
      <w:r w:rsidRPr="000C75F8">
        <w:rPr>
          <w:b/>
          <w:bCs/>
        </w:rPr>
        <w:t>outstanding recommendation from 2019</w:t>
      </w:r>
      <w:r>
        <w:t>).</w:t>
      </w:r>
    </w:p>
    <w:p w14:paraId="5261F2F4" w14:textId="77777777" w:rsidR="00C76A3E" w:rsidRPr="00EC5694" w:rsidRDefault="00C76A3E" w:rsidP="007F17DE">
      <w:pPr>
        <w:pStyle w:val="Subtitle"/>
        <w:numPr>
          <w:ilvl w:val="0"/>
          <w:numId w:val="10"/>
        </w:numPr>
      </w:pPr>
      <w:r>
        <w:t>Pre-budget and budget proposal documents should include links for how to engage in the budget process. This key mechanism for engagement was missing. </w:t>
      </w:r>
    </w:p>
    <w:p w14:paraId="0734574F" w14:textId="1E358832" w:rsidR="00C57B2E" w:rsidRDefault="00881916" w:rsidP="007F17DE">
      <w:pPr>
        <w:pStyle w:val="Subtitle"/>
        <w:numPr>
          <w:ilvl w:val="0"/>
          <w:numId w:val="10"/>
        </w:numPr>
      </w:pPr>
      <w:r>
        <w:t>The Scottish Government</w:t>
      </w:r>
      <w:r w:rsidR="00EA7BC7">
        <w:t xml:space="preserve"> </w:t>
      </w:r>
      <w:r w:rsidR="00C57B2E">
        <w:t>should provide further opportunities for public participation throughout the budget cycle (</w:t>
      </w:r>
      <w:r w:rsidR="00C57B2E" w:rsidRPr="007A7190">
        <w:rPr>
          <w:b/>
          <w:bCs/>
        </w:rPr>
        <w:t>outstanding recommendation from 2019</w:t>
      </w:r>
      <w:r w:rsidR="00C57B2E">
        <w:t xml:space="preserve">). This should include information on how participants’ input has influenced </w:t>
      </w:r>
      <w:r w:rsidR="00C57B2E" w:rsidRPr="007A7190">
        <w:t>decisions and recommendations related to the budget</w:t>
      </w:r>
      <w:r w:rsidR="00C57B2E">
        <w:t>.</w:t>
      </w:r>
    </w:p>
    <w:p w14:paraId="7E06374E" w14:textId="377EB6A5" w:rsidR="00C57B2E" w:rsidRPr="00626AF4" w:rsidRDefault="00881916" w:rsidP="007F17DE">
      <w:pPr>
        <w:pStyle w:val="Subtitle"/>
        <w:numPr>
          <w:ilvl w:val="0"/>
          <w:numId w:val="10"/>
        </w:numPr>
        <w:rPr>
          <w:kern w:val="24"/>
          <w:sz w:val="36"/>
          <w:szCs w:val="36"/>
        </w:rPr>
      </w:pPr>
      <w:r>
        <w:t>The Scottish Government</w:t>
      </w:r>
      <w:r w:rsidR="00EA7BC7">
        <w:t xml:space="preserve"> </w:t>
      </w:r>
      <w:r w:rsidR="00C57B2E">
        <w:t xml:space="preserve">should set out the mechanism by which Parliamentary information (from its pre-budget scrutiny and evidence sessions) is shared and how it informs </w:t>
      </w:r>
      <w:r>
        <w:t>The Scottish Government</w:t>
      </w:r>
      <w:r w:rsidR="00EA7BC7">
        <w:t xml:space="preserve">’s </w:t>
      </w:r>
      <w:r w:rsidR="00C57B2E">
        <w:t xml:space="preserve">decision making process. </w:t>
      </w:r>
      <w:r w:rsidR="00C76A3E">
        <w:t>This should be provided on the single landing page to support transparency.</w:t>
      </w:r>
    </w:p>
    <w:p w14:paraId="4F84A1B9" w14:textId="77777777" w:rsidR="00C57B2E" w:rsidRPr="000A7786" w:rsidRDefault="00C57B2E" w:rsidP="007F17DE">
      <w:pPr>
        <w:pStyle w:val="Subtitle"/>
        <w:numPr>
          <w:ilvl w:val="0"/>
          <w:numId w:val="10"/>
        </w:numPr>
        <w:rPr>
          <w:kern w:val="24"/>
          <w:sz w:val="36"/>
          <w:szCs w:val="36"/>
        </w:rPr>
      </w:pPr>
      <w:r w:rsidRPr="007A7190">
        <w:t xml:space="preserve">Parliamentary Committees should improve their feedback </w:t>
      </w:r>
      <w:r>
        <w:t>t</w:t>
      </w:r>
      <w:r w:rsidRPr="007A7190">
        <w:t xml:space="preserve">o </w:t>
      </w:r>
      <w:r>
        <w:t xml:space="preserve">participants to </w:t>
      </w:r>
      <w:r w:rsidRPr="007A7190">
        <w:t>explain how their input has impacted on the Committee’s decisions and recommendations related to the budget</w:t>
      </w:r>
      <w:r>
        <w:t xml:space="preserve"> (</w:t>
      </w:r>
      <w:r w:rsidRPr="000C75F8">
        <w:rPr>
          <w:b/>
          <w:bCs/>
        </w:rPr>
        <w:t>outstanding recommendation from 2019</w:t>
      </w:r>
      <w:r>
        <w:t xml:space="preserve">). </w:t>
      </w:r>
    </w:p>
    <w:p w14:paraId="2E3D0FBF" w14:textId="77777777" w:rsidR="00C57B2E" w:rsidRDefault="00C57B2E" w:rsidP="007F17DE">
      <w:pPr>
        <w:pStyle w:val="Subtitle"/>
        <w:numPr>
          <w:ilvl w:val="0"/>
          <w:numId w:val="10"/>
        </w:numPr>
      </w:pPr>
      <w:r>
        <w:t>Parliamentary and government policy / subject inquiries could consistently and routinely address budgetary elements to improve budgetary focus and scrutiny (</w:t>
      </w:r>
      <w:r w:rsidRPr="000C75F8">
        <w:rPr>
          <w:b/>
          <w:bCs/>
        </w:rPr>
        <w:t>outstanding recommendation from 2019</w:t>
      </w:r>
      <w:r>
        <w:t>).</w:t>
      </w:r>
    </w:p>
    <w:p w14:paraId="6C074E88" w14:textId="77777777" w:rsidR="00EA17E7" w:rsidRPr="00EA17E7" w:rsidRDefault="00EA17E7" w:rsidP="007F17DE"/>
    <w:p w14:paraId="7B406CD9" w14:textId="77777777" w:rsidR="005E3D70" w:rsidRDefault="005E3D70" w:rsidP="007F17DE">
      <w:pPr>
        <w:rPr>
          <w:b/>
          <w:kern w:val="24"/>
          <w:sz w:val="40"/>
          <w:szCs w:val="52"/>
        </w:rPr>
      </w:pPr>
      <w:r>
        <w:br w:type="page"/>
      </w:r>
    </w:p>
    <w:p w14:paraId="2B40068A" w14:textId="062AE8D9" w:rsidR="000A7786" w:rsidRDefault="000A7786" w:rsidP="00881916">
      <w:pPr>
        <w:pStyle w:val="Heading2"/>
      </w:pPr>
      <w:bookmarkStart w:id="44" w:name="_Toc167112818"/>
      <w:bookmarkStart w:id="45" w:name="_Toc167112886"/>
      <w:bookmarkStart w:id="46" w:name="_Toc167782859"/>
      <w:r>
        <w:lastRenderedPageBreak/>
        <w:t>Budget Oversight</w:t>
      </w:r>
      <w:bookmarkEnd w:id="44"/>
      <w:bookmarkEnd w:id="45"/>
      <w:bookmarkEnd w:id="46"/>
    </w:p>
    <w:p w14:paraId="109CE1B1" w14:textId="77777777" w:rsidR="00C57B2E" w:rsidRDefault="00C57B2E" w:rsidP="007F17DE">
      <w:r>
        <w:t xml:space="preserve">The OBS examines the role that legislatures and supreme audit institutions (SAIs) play in the budget process and the extent to which they provide oversight. Eighteen equally weighted questions provide each country with a score out of 100. </w:t>
      </w:r>
    </w:p>
    <w:p w14:paraId="6D8AF294" w14:textId="77777777" w:rsidR="00C57B2E" w:rsidRDefault="00C57B2E" w:rsidP="007F17DE">
      <w:r>
        <w:t xml:space="preserve">Although brief, the aim of this section of the survey is to assess whether the broader institutional architecture of the budget system includes sufficiently effective checks and balances to ensure integrity and accountability in the use of public resources. </w:t>
      </w:r>
    </w:p>
    <w:p w14:paraId="39A009C1" w14:textId="7EB5B886" w:rsidR="00C57B2E" w:rsidRPr="00722AE3" w:rsidRDefault="00C57B2E" w:rsidP="007F17DE">
      <w:r>
        <w:t xml:space="preserve">The legislature and Audit Scotland together, provide adequate oversight during the budget process, with a composite oversight score of </w:t>
      </w:r>
      <w:r w:rsidRPr="00F34A29">
        <w:rPr>
          <w:b/>
          <w:bCs/>
        </w:rPr>
        <w:t>91</w:t>
      </w:r>
      <w:r>
        <w:t xml:space="preserve"> (out of 100). </w:t>
      </w:r>
      <w:bookmarkStart w:id="47" w:name="_Hlk165911555"/>
      <w:r w:rsidRPr="00D44F26">
        <w:t>This</w:t>
      </w:r>
      <w:r>
        <w:t xml:space="preserve"> score</w:t>
      </w:r>
      <w:r w:rsidRPr="00D44F26">
        <w:t xml:space="preserve"> </w:t>
      </w:r>
      <w:r>
        <w:t>was an improvement from an already high score</w:t>
      </w:r>
      <w:r w:rsidR="00383D0B">
        <w:t xml:space="preserve"> of 85</w:t>
      </w:r>
      <w:r>
        <w:t xml:space="preserve"> in OBS 2019, where oversight was the</w:t>
      </w:r>
      <w:r w:rsidRPr="00D44F26">
        <w:t xml:space="preserve"> strongest element of the </w:t>
      </w:r>
      <w:r w:rsidRPr="00722AE3">
        <w:t xml:space="preserve">Scottish budget. </w:t>
      </w:r>
      <w:r w:rsidR="00734260">
        <w:t>In comparison to</w:t>
      </w:r>
      <w:r w:rsidR="00240538">
        <w:t xml:space="preserve"> all</w:t>
      </w:r>
      <w:r w:rsidR="00734260">
        <w:t xml:space="preserve"> OBS countries – th</w:t>
      </w:r>
      <w:r w:rsidR="00240538">
        <w:t>is</w:t>
      </w:r>
      <w:r w:rsidR="00734260">
        <w:t xml:space="preserve"> places Scotland as the highest performing country </w:t>
      </w:r>
      <w:bookmarkEnd w:id="47"/>
      <w:r w:rsidR="00734260">
        <w:t xml:space="preserve">(see </w:t>
      </w:r>
      <w:r w:rsidR="007B6560">
        <w:t>Table 9</w:t>
      </w:r>
      <w:r w:rsidR="00734260">
        <w:t>)</w:t>
      </w:r>
      <w:r w:rsidR="00240538">
        <w:t>.</w:t>
      </w:r>
    </w:p>
    <w:p w14:paraId="4BA309C1" w14:textId="0308792B" w:rsidR="00C57B2E" w:rsidRDefault="00C57B2E" w:rsidP="007F17DE">
      <w:pPr>
        <w:rPr>
          <w:lang w:eastAsia="en-GB"/>
        </w:rPr>
      </w:pPr>
      <w:bookmarkStart w:id="48" w:name="_Hlk165911601"/>
      <w:r w:rsidRPr="00722AE3">
        <w:t xml:space="preserve">The Independent Audit Oversight scored </w:t>
      </w:r>
      <w:r>
        <w:t>full marks, with t</w:t>
      </w:r>
      <w:r w:rsidRPr="00722AE3">
        <w:t>he Legislative Oversight scor</w:t>
      </w:r>
      <w:r>
        <w:t>ing</w:t>
      </w:r>
      <w:r w:rsidRPr="00722AE3">
        <w:t xml:space="preserve"> 87</w:t>
      </w:r>
      <w:r w:rsidR="000E0D6C">
        <w:t xml:space="preserve"> out of </w:t>
      </w:r>
      <w:r w:rsidRPr="00722AE3">
        <w:t xml:space="preserve">100. </w:t>
      </w:r>
      <w:r w:rsidRPr="00722AE3">
        <w:rPr>
          <w:lang w:eastAsia="en-GB"/>
        </w:rPr>
        <w:t>Broken down, this score reflects that the Legislature provide</w:t>
      </w:r>
      <w:r>
        <w:rPr>
          <w:lang w:eastAsia="en-GB"/>
        </w:rPr>
        <w:t>d</w:t>
      </w:r>
      <w:r w:rsidRPr="00722AE3">
        <w:rPr>
          <w:lang w:eastAsia="en-GB"/>
        </w:rPr>
        <w:t xml:space="preserve"> adequate oversight (as for </w:t>
      </w:r>
      <w:r>
        <w:rPr>
          <w:lang w:eastAsia="en-GB"/>
        </w:rPr>
        <w:t>OBS 2019</w:t>
      </w:r>
      <w:r w:rsidRPr="00722AE3">
        <w:rPr>
          <w:lang w:eastAsia="en-GB"/>
        </w:rPr>
        <w:t xml:space="preserve">) during the planning stage of the budget </w:t>
      </w:r>
      <w:r w:rsidR="006B27FF" w:rsidRPr="00722AE3">
        <w:rPr>
          <w:lang w:eastAsia="en-GB"/>
        </w:rPr>
        <w:t>cycle and</w:t>
      </w:r>
      <w:r w:rsidRPr="00722AE3">
        <w:rPr>
          <w:lang w:eastAsia="en-GB"/>
        </w:rPr>
        <w:t xml:space="preserve"> </w:t>
      </w:r>
      <w:r>
        <w:rPr>
          <w:lang w:eastAsia="en-GB"/>
        </w:rPr>
        <w:t xml:space="preserve">had </w:t>
      </w:r>
      <w:r w:rsidRPr="00722AE3">
        <w:rPr>
          <w:lang w:eastAsia="en-GB"/>
        </w:rPr>
        <w:t xml:space="preserve">improved </w:t>
      </w:r>
      <w:r>
        <w:rPr>
          <w:lang w:eastAsia="en-GB"/>
        </w:rPr>
        <w:t xml:space="preserve">its </w:t>
      </w:r>
      <w:r w:rsidRPr="00722AE3">
        <w:rPr>
          <w:lang w:eastAsia="en-GB"/>
        </w:rPr>
        <w:t xml:space="preserve">oversight during the implementation stage of the budget cycle compared with </w:t>
      </w:r>
      <w:r>
        <w:rPr>
          <w:lang w:eastAsia="en-GB"/>
        </w:rPr>
        <w:t>OBS 2019</w:t>
      </w:r>
      <w:r w:rsidRPr="00722AE3">
        <w:rPr>
          <w:lang w:eastAsia="en-GB"/>
        </w:rPr>
        <w:t>.</w:t>
      </w:r>
    </w:p>
    <w:bookmarkEnd w:id="48"/>
    <w:p w14:paraId="39FC46AB" w14:textId="42ADF176" w:rsidR="003478C2" w:rsidRPr="009A24BC" w:rsidRDefault="00C76A3E" w:rsidP="007F17DE">
      <w:pPr>
        <w:rPr>
          <w:rFonts w:cstheme="minorHAnsi"/>
          <w:b/>
        </w:rPr>
      </w:pPr>
      <w:r>
        <w:br w:type="page"/>
      </w:r>
      <w:bookmarkStart w:id="49" w:name="_Toc167112887"/>
      <w:r w:rsidR="00DB4D8C" w:rsidRPr="00DB4D8C">
        <w:rPr>
          <w:rFonts w:cstheme="minorHAnsi"/>
          <w:bCs/>
        </w:rPr>
        <w:lastRenderedPageBreak/>
        <w:t xml:space="preserve">Table </w:t>
      </w:r>
      <w:r w:rsidR="00DB4D8C">
        <w:rPr>
          <w:rFonts w:cstheme="minorHAnsi"/>
          <w:bCs/>
        </w:rPr>
        <w:t>9</w:t>
      </w:r>
      <w:r w:rsidR="00DB4D8C">
        <w:t xml:space="preserve"> </w:t>
      </w:r>
      <w:r w:rsidR="00454BC3">
        <w:t xml:space="preserve">- </w:t>
      </w:r>
      <w:bookmarkEnd w:id="49"/>
      <w:r w:rsidR="009A24BC">
        <w:t xml:space="preserve">Open Budget Survey Oversight Scores compared to others </w:t>
      </w:r>
    </w:p>
    <w:tbl>
      <w:tblPr>
        <w:tblStyle w:val="TableGrid"/>
        <w:tblW w:w="0" w:type="auto"/>
        <w:tblLook w:val="04A0" w:firstRow="1" w:lastRow="0" w:firstColumn="1" w:lastColumn="0" w:noHBand="0" w:noVBand="1"/>
      </w:tblPr>
      <w:tblGrid>
        <w:gridCol w:w="3107"/>
        <w:gridCol w:w="3108"/>
        <w:gridCol w:w="3108"/>
      </w:tblGrid>
      <w:tr w:rsidR="009A24BC" w:rsidRPr="009A24BC" w14:paraId="705EA890" w14:textId="77777777" w:rsidTr="009A24BC">
        <w:trPr>
          <w:cantSplit/>
          <w:tblHeader/>
        </w:trPr>
        <w:tc>
          <w:tcPr>
            <w:tcW w:w="3107" w:type="dxa"/>
            <w:shd w:val="clear" w:color="auto" w:fill="8BADDC"/>
          </w:tcPr>
          <w:p w14:paraId="4A11B95F" w14:textId="117E4970" w:rsidR="009A24BC" w:rsidRPr="009A24BC" w:rsidRDefault="009A24BC">
            <w:pPr>
              <w:spacing w:before="0" w:after="0" w:line="360" w:lineRule="auto"/>
              <w:rPr>
                <w:b/>
                <w:bCs/>
              </w:rPr>
            </w:pPr>
            <w:bookmarkStart w:id="50" w:name="_Toc163647834"/>
            <w:bookmarkStart w:id="51" w:name="_Toc167112888"/>
            <w:r w:rsidRPr="009A24BC">
              <w:rPr>
                <w:b/>
                <w:bCs/>
              </w:rPr>
              <w:t>Country</w:t>
            </w:r>
          </w:p>
        </w:tc>
        <w:tc>
          <w:tcPr>
            <w:tcW w:w="3108" w:type="dxa"/>
            <w:shd w:val="clear" w:color="auto" w:fill="8BADDC"/>
          </w:tcPr>
          <w:p w14:paraId="2501431C" w14:textId="04634217" w:rsidR="009A24BC" w:rsidRPr="009A24BC" w:rsidRDefault="009A24BC">
            <w:pPr>
              <w:spacing w:before="0" w:after="0" w:line="360" w:lineRule="auto"/>
              <w:rPr>
                <w:b/>
                <w:bCs/>
              </w:rPr>
            </w:pPr>
            <w:r w:rsidRPr="009A24BC">
              <w:rPr>
                <w:b/>
                <w:bCs/>
              </w:rPr>
              <w:t>2019</w:t>
            </w:r>
          </w:p>
        </w:tc>
        <w:tc>
          <w:tcPr>
            <w:tcW w:w="3108" w:type="dxa"/>
            <w:shd w:val="clear" w:color="auto" w:fill="8BADDC"/>
          </w:tcPr>
          <w:p w14:paraId="3C785B98" w14:textId="49681923" w:rsidR="009A24BC" w:rsidRPr="009A24BC" w:rsidRDefault="009A24BC">
            <w:pPr>
              <w:spacing w:before="0" w:after="0" w:line="360" w:lineRule="auto"/>
              <w:rPr>
                <w:b/>
                <w:bCs/>
              </w:rPr>
            </w:pPr>
            <w:r w:rsidRPr="009A24BC">
              <w:rPr>
                <w:b/>
                <w:bCs/>
              </w:rPr>
              <w:t>2023</w:t>
            </w:r>
          </w:p>
        </w:tc>
      </w:tr>
      <w:tr w:rsidR="009A24BC" w14:paraId="2D93A6B3" w14:textId="77777777" w:rsidTr="009A24BC">
        <w:tc>
          <w:tcPr>
            <w:tcW w:w="3107" w:type="dxa"/>
          </w:tcPr>
          <w:p w14:paraId="7A758E0D" w14:textId="65A6D1B7" w:rsidR="009A24BC" w:rsidRDefault="00757B89">
            <w:pPr>
              <w:spacing w:before="0" w:after="0" w:line="360" w:lineRule="auto"/>
            </w:pPr>
            <w:r>
              <w:t>Scotland</w:t>
            </w:r>
          </w:p>
        </w:tc>
        <w:tc>
          <w:tcPr>
            <w:tcW w:w="3108" w:type="dxa"/>
          </w:tcPr>
          <w:p w14:paraId="0AD77EBD" w14:textId="5F732843" w:rsidR="009A24BC" w:rsidRDefault="00757B89">
            <w:pPr>
              <w:spacing w:before="0" w:after="0" w:line="360" w:lineRule="auto"/>
            </w:pPr>
            <w:r>
              <w:t>85</w:t>
            </w:r>
          </w:p>
        </w:tc>
        <w:tc>
          <w:tcPr>
            <w:tcW w:w="3108" w:type="dxa"/>
          </w:tcPr>
          <w:p w14:paraId="0825CF70" w14:textId="29E94773" w:rsidR="009A24BC" w:rsidRDefault="00757B89">
            <w:pPr>
              <w:spacing w:before="0" w:after="0" w:line="360" w:lineRule="auto"/>
            </w:pPr>
            <w:r>
              <w:t>91</w:t>
            </w:r>
          </w:p>
        </w:tc>
      </w:tr>
      <w:tr w:rsidR="009A24BC" w14:paraId="3EA1255E" w14:textId="77777777" w:rsidTr="009A24BC">
        <w:tc>
          <w:tcPr>
            <w:tcW w:w="3107" w:type="dxa"/>
          </w:tcPr>
          <w:p w14:paraId="146EDE8C" w14:textId="4E2D1BCE" w:rsidR="009A24BC" w:rsidRDefault="00757B89">
            <w:pPr>
              <w:spacing w:before="0" w:after="0" w:line="360" w:lineRule="auto"/>
            </w:pPr>
            <w:r>
              <w:t>Norway</w:t>
            </w:r>
          </w:p>
        </w:tc>
        <w:tc>
          <w:tcPr>
            <w:tcW w:w="3108" w:type="dxa"/>
          </w:tcPr>
          <w:p w14:paraId="7C5C5934" w14:textId="4A642D03" w:rsidR="009A24BC" w:rsidRDefault="00757B89">
            <w:pPr>
              <w:spacing w:before="0" w:after="0" w:line="360" w:lineRule="auto"/>
            </w:pPr>
            <w:r>
              <w:t>87</w:t>
            </w:r>
          </w:p>
        </w:tc>
        <w:tc>
          <w:tcPr>
            <w:tcW w:w="3108" w:type="dxa"/>
          </w:tcPr>
          <w:p w14:paraId="7DD71081" w14:textId="58899481" w:rsidR="009A24BC" w:rsidRDefault="00757B89">
            <w:pPr>
              <w:spacing w:before="0" w:after="0" w:line="360" w:lineRule="auto"/>
            </w:pPr>
            <w:r>
              <w:t>87</w:t>
            </w:r>
          </w:p>
        </w:tc>
      </w:tr>
      <w:tr w:rsidR="009A24BC" w14:paraId="783D1641" w14:textId="77777777" w:rsidTr="009A24BC">
        <w:tc>
          <w:tcPr>
            <w:tcW w:w="3107" w:type="dxa"/>
          </w:tcPr>
          <w:p w14:paraId="47234E68" w14:textId="33432AB9" w:rsidR="009A24BC" w:rsidRDefault="00757B89">
            <w:pPr>
              <w:spacing w:before="0" w:after="0" w:line="360" w:lineRule="auto"/>
            </w:pPr>
            <w:r>
              <w:t>United States</w:t>
            </w:r>
          </w:p>
        </w:tc>
        <w:tc>
          <w:tcPr>
            <w:tcW w:w="3108" w:type="dxa"/>
          </w:tcPr>
          <w:p w14:paraId="3083BBA8" w14:textId="2617B02D" w:rsidR="009A24BC" w:rsidRDefault="00757B89">
            <w:pPr>
              <w:spacing w:before="0" w:after="0" w:line="360" w:lineRule="auto"/>
            </w:pPr>
            <w:r>
              <w:t>83</w:t>
            </w:r>
          </w:p>
        </w:tc>
        <w:tc>
          <w:tcPr>
            <w:tcW w:w="3108" w:type="dxa"/>
          </w:tcPr>
          <w:p w14:paraId="48C2E7A2" w14:textId="0E31B7C9" w:rsidR="009A24BC" w:rsidRDefault="00757B89">
            <w:pPr>
              <w:spacing w:before="0" w:after="0" w:line="360" w:lineRule="auto"/>
            </w:pPr>
            <w:r>
              <w:t>83</w:t>
            </w:r>
          </w:p>
        </w:tc>
      </w:tr>
      <w:tr w:rsidR="009A24BC" w14:paraId="555C1A1F" w14:textId="77777777" w:rsidTr="009A24BC">
        <w:tc>
          <w:tcPr>
            <w:tcW w:w="3107" w:type="dxa"/>
          </w:tcPr>
          <w:p w14:paraId="5A8BA4BD" w14:textId="4BE7F6E1" w:rsidR="009A24BC" w:rsidRDefault="00757B89">
            <w:pPr>
              <w:spacing w:before="0" w:after="0" w:line="360" w:lineRule="auto"/>
            </w:pPr>
            <w:r>
              <w:t>France</w:t>
            </w:r>
          </w:p>
        </w:tc>
        <w:tc>
          <w:tcPr>
            <w:tcW w:w="3108" w:type="dxa"/>
          </w:tcPr>
          <w:p w14:paraId="3A3BBA81" w14:textId="48BF0D86" w:rsidR="009A24BC" w:rsidRDefault="00757B89">
            <w:pPr>
              <w:spacing w:before="0" w:after="0" w:line="360" w:lineRule="auto"/>
            </w:pPr>
            <w:r>
              <w:t>89</w:t>
            </w:r>
          </w:p>
        </w:tc>
        <w:tc>
          <w:tcPr>
            <w:tcW w:w="3108" w:type="dxa"/>
          </w:tcPr>
          <w:p w14:paraId="206ECA85" w14:textId="367B7132" w:rsidR="009A24BC" w:rsidRDefault="00757B89">
            <w:pPr>
              <w:spacing w:before="0" w:after="0" w:line="360" w:lineRule="auto"/>
            </w:pPr>
            <w:r>
              <w:t>82</w:t>
            </w:r>
          </w:p>
        </w:tc>
      </w:tr>
      <w:tr w:rsidR="009A24BC" w14:paraId="7414C889" w14:textId="77777777" w:rsidTr="009A24BC">
        <w:tc>
          <w:tcPr>
            <w:tcW w:w="3107" w:type="dxa"/>
          </w:tcPr>
          <w:p w14:paraId="4962EDE1" w14:textId="31ED8A02" w:rsidR="009A24BC" w:rsidRDefault="00757B89">
            <w:pPr>
              <w:spacing w:before="0" w:after="0" w:line="360" w:lineRule="auto"/>
            </w:pPr>
            <w:r>
              <w:t>Sweden</w:t>
            </w:r>
          </w:p>
        </w:tc>
        <w:tc>
          <w:tcPr>
            <w:tcW w:w="3108" w:type="dxa"/>
          </w:tcPr>
          <w:p w14:paraId="734CA9AD" w14:textId="69C5C1CC" w:rsidR="009A24BC" w:rsidRDefault="00757B89">
            <w:pPr>
              <w:spacing w:before="0" w:after="0" w:line="360" w:lineRule="auto"/>
            </w:pPr>
            <w:r>
              <w:t>89</w:t>
            </w:r>
          </w:p>
        </w:tc>
        <w:tc>
          <w:tcPr>
            <w:tcW w:w="3108" w:type="dxa"/>
          </w:tcPr>
          <w:p w14:paraId="5F1642FD" w14:textId="778664CE" w:rsidR="009A24BC" w:rsidRDefault="00757B89">
            <w:pPr>
              <w:spacing w:before="0" w:after="0" w:line="360" w:lineRule="auto"/>
            </w:pPr>
            <w:r>
              <w:t>82</w:t>
            </w:r>
          </w:p>
        </w:tc>
      </w:tr>
      <w:tr w:rsidR="009A24BC" w14:paraId="6CA1715D" w14:textId="77777777" w:rsidTr="009A24BC">
        <w:tc>
          <w:tcPr>
            <w:tcW w:w="3107" w:type="dxa"/>
          </w:tcPr>
          <w:p w14:paraId="5C5E2DCC" w14:textId="61B13727" w:rsidR="009A24BC" w:rsidRDefault="00757B89">
            <w:pPr>
              <w:spacing w:before="0" w:after="0" w:line="360" w:lineRule="auto"/>
            </w:pPr>
            <w:r>
              <w:t>Germany</w:t>
            </w:r>
          </w:p>
        </w:tc>
        <w:tc>
          <w:tcPr>
            <w:tcW w:w="3108" w:type="dxa"/>
          </w:tcPr>
          <w:p w14:paraId="240FD908" w14:textId="4E9D8260" w:rsidR="009A24BC" w:rsidRDefault="00757B89">
            <w:pPr>
              <w:spacing w:before="0" w:after="0" w:line="360" w:lineRule="auto"/>
            </w:pPr>
            <w:r>
              <w:t>91</w:t>
            </w:r>
          </w:p>
        </w:tc>
        <w:tc>
          <w:tcPr>
            <w:tcW w:w="3108" w:type="dxa"/>
          </w:tcPr>
          <w:p w14:paraId="0F05CD4B" w14:textId="7F499FC5" w:rsidR="009A24BC" w:rsidRDefault="00757B89">
            <w:pPr>
              <w:spacing w:before="0" w:after="0" w:line="360" w:lineRule="auto"/>
            </w:pPr>
            <w:r>
              <w:t>81</w:t>
            </w:r>
          </w:p>
        </w:tc>
      </w:tr>
      <w:tr w:rsidR="009A24BC" w14:paraId="515ADD5F" w14:textId="77777777" w:rsidTr="009A24BC">
        <w:tc>
          <w:tcPr>
            <w:tcW w:w="3107" w:type="dxa"/>
          </w:tcPr>
          <w:p w14:paraId="0886E2B1" w14:textId="687B9ED2" w:rsidR="009A24BC" w:rsidRDefault="00757B89">
            <w:pPr>
              <w:spacing w:before="0" w:after="0" w:line="360" w:lineRule="auto"/>
            </w:pPr>
            <w:r>
              <w:t>New Zealand</w:t>
            </w:r>
          </w:p>
        </w:tc>
        <w:tc>
          <w:tcPr>
            <w:tcW w:w="3108" w:type="dxa"/>
          </w:tcPr>
          <w:p w14:paraId="39B354FA" w14:textId="4011D8DF" w:rsidR="009A24BC" w:rsidRDefault="00757B89">
            <w:pPr>
              <w:spacing w:before="0" w:after="0" w:line="360" w:lineRule="auto"/>
            </w:pPr>
            <w:r>
              <w:t>81</w:t>
            </w:r>
          </w:p>
        </w:tc>
        <w:tc>
          <w:tcPr>
            <w:tcW w:w="3108" w:type="dxa"/>
          </w:tcPr>
          <w:p w14:paraId="2FCFC8E6" w14:textId="7C15E2C9" w:rsidR="009A24BC" w:rsidRDefault="00757B89">
            <w:pPr>
              <w:spacing w:before="0" w:after="0" w:line="360" w:lineRule="auto"/>
            </w:pPr>
            <w:r>
              <w:t>78</w:t>
            </w:r>
          </w:p>
        </w:tc>
      </w:tr>
      <w:tr w:rsidR="00757B89" w14:paraId="0EAE6144" w14:textId="77777777" w:rsidTr="009A24BC">
        <w:tc>
          <w:tcPr>
            <w:tcW w:w="3107" w:type="dxa"/>
          </w:tcPr>
          <w:p w14:paraId="6BF50B4C" w14:textId="7C7033F6" w:rsidR="00757B89" w:rsidRDefault="00757B89">
            <w:pPr>
              <w:spacing w:before="0" w:after="0" w:line="360" w:lineRule="auto"/>
            </w:pPr>
            <w:r>
              <w:t>Italy</w:t>
            </w:r>
          </w:p>
        </w:tc>
        <w:tc>
          <w:tcPr>
            <w:tcW w:w="3108" w:type="dxa"/>
          </w:tcPr>
          <w:p w14:paraId="32BF4AB0" w14:textId="7B933259" w:rsidR="00757B89" w:rsidRDefault="00757B89">
            <w:pPr>
              <w:spacing w:before="0" w:after="0" w:line="360" w:lineRule="auto"/>
            </w:pPr>
            <w:r>
              <w:t>82</w:t>
            </w:r>
          </w:p>
        </w:tc>
        <w:tc>
          <w:tcPr>
            <w:tcW w:w="3108" w:type="dxa"/>
          </w:tcPr>
          <w:p w14:paraId="6FA100F3" w14:textId="5E180C53" w:rsidR="00757B89" w:rsidRDefault="00757B89">
            <w:pPr>
              <w:spacing w:before="0" w:after="0" w:line="360" w:lineRule="auto"/>
            </w:pPr>
            <w:r>
              <w:t>77</w:t>
            </w:r>
          </w:p>
        </w:tc>
      </w:tr>
      <w:tr w:rsidR="00757B89" w14:paraId="41E26EE3" w14:textId="77777777" w:rsidTr="009A24BC">
        <w:tc>
          <w:tcPr>
            <w:tcW w:w="3107" w:type="dxa"/>
          </w:tcPr>
          <w:p w14:paraId="69C80FA9" w14:textId="314250C6" w:rsidR="00757B89" w:rsidRDefault="00757B89">
            <w:pPr>
              <w:spacing w:before="0" w:after="0" w:line="360" w:lineRule="auto"/>
            </w:pPr>
            <w:r>
              <w:t>Participating OECD Countries</w:t>
            </w:r>
          </w:p>
        </w:tc>
        <w:tc>
          <w:tcPr>
            <w:tcW w:w="3108" w:type="dxa"/>
          </w:tcPr>
          <w:p w14:paraId="3B0DB849" w14:textId="673FF4C6" w:rsidR="00757B89" w:rsidRDefault="00757B89">
            <w:pPr>
              <w:spacing w:before="0" w:after="0" w:line="360" w:lineRule="auto"/>
            </w:pPr>
          </w:p>
        </w:tc>
        <w:tc>
          <w:tcPr>
            <w:tcW w:w="3108" w:type="dxa"/>
          </w:tcPr>
          <w:p w14:paraId="1863A5F5" w14:textId="1B9E2E7E" w:rsidR="00757B89" w:rsidRDefault="001E417A">
            <w:pPr>
              <w:spacing w:before="0" w:after="0" w:line="360" w:lineRule="auto"/>
            </w:pPr>
            <w:r>
              <w:t>74</w:t>
            </w:r>
          </w:p>
        </w:tc>
      </w:tr>
      <w:tr w:rsidR="00757B89" w14:paraId="49B2E8A4" w14:textId="77777777" w:rsidTr="009A24BC">
        <w:tc>
          <w:tcPr>
            <w:tcW w:w="3107" w:type="dxa"/>
          </w:tcPr>
          <w:p w14:paraId="18F7A5A0" w14:textId="499FB026" w:rsidR="00757B89" w:rsidRDefault="00757B89">
            <w:pPr>
              <w:spacing w:before="0" w:after="0" w:line="360" w:lineRule="auto"/>
            </w:pPr>
            <w:r>
              <w:t>Portugal</w:t>
            </w:r>
          </w:p>
        </w:tc>
        <w:tc>
          <w:tcPr>
            <w:tcW w:w="3108" w:type="dxa"/>
          </w:tcPr>
          <w:p w14:paraId="6F99AFD5" w14:textId="35E36E75" w:rsidR="00757B89" w:rsidRDefault="00757B89">
            <w:pPr>
              <w:spacing w:before="0" w:after="0" w:line="360" w:lineRule="auto"/>
            </w:pPr>
            <w:r>
              <w:t>72</w:t>
            </w:r>
          </w:p>
        </w:tc>
        <w:tc>
          <w:tcPr>
            <w:tcW w:w="3108" w:type="dxa"/>
          </w:tcPr>
          <w:p w14:paraId="75FB6DDF" w14:textId="40D600E2" w:rsidR="00757B89" w:rsidRDefault="00757B89">
            <w:pPr>
              <w:spacing w:before="0" w:after="0" w:line="360" w:lineRule="auto"/>
            </w:pPr>
            <w:r>
              <w:t>74</w:t>
            </w:r>
          </w:p>
        </w:tc>
      </w:tr>
      <w:tr w:rsidR="00757B89" w14:paraId="3A2E7E23" w14:textId="77777777" w:rsidTr="009A24BC">
        <w:tc>
          <w:tcPr>
            <w:tcW w:w="3107" w:type="dxa"/>
          </w:tcPr>
          <w:p w14:paraId="5B5B1BDC" w14:textId="2A991A67" w:rsidR="00757B89" w:rsidRDefault="00757B89">
            <w:pPr>
              <w:spacing w:before="0" w:after="0" w:line="360" w:lineRule="auto"/>
            </w:pPr>
            <w:r>
              <w:t>Spain</w:t>
            </w:r>
          </w:p>
        </w:tc>
        <w:tc>
          <w:tcPr>
            <w:tcW w:w="3108" w:type="dxa"/>
          </w:tcPr>
          <w:p w14:paraId="5148A2B5" w14:textId="07FC6041" w:rsidR="00757B89" w:rsidRDefault="00757B89">
            <w:pPr>
              <w:spacing w:before="0" w:after="0" w:line="360" w:lineRule="auto"/>
            </w:pPr>
            <w:r>
              <w:t>59</w:t>
            </w:r>
          </w:p>
        </w:tc>
        <w:tc>
          <w:tcPr>
            <w:tcW w:w="3108" w:type="dxa"/>
          </w:tcPr>
          <w:p w14:paraId="6A96E726" w14:textId="00F31ACA" w:rsidR="00757B89" w:rsidRDefault="00757B89">
            <w:pPr>
              <w:spacing w:before="0" w:after="0" w:line="360" w:lineRule="auto"/>
            </w:pPr>
            <w:r>
              <w:t>65</w:t>
            </w:r>
          </w:p>
        </w:tc>
      </w:tr>
      <w:tr w:rsidR="00757B89" w14:paraId="72C4ACDE" w14:textId="77777777" w:rsidTr="009A24BC">
        <w:tc>
          <w:tcPr>
            <w:tcW w:w="3107" w:type="dxa"/>
          </w:tcPr>
          <w:p w14:paraId="037DBBE0" w14:textId="7908EBE4" w:rsidR="00757B89" w:rsidRDefault="00757B89">
            <w:pPr>
              <w:spacing w:before="0" w:after="0" w:line="360" w:lineRule="auto"/>
            </w:pPr>
            <w:r>
              <w:t>United Kingdom</w:t>
            </w:r>
          </w:p>
        </w:tc>
        <w:tc>
          <w:tcPr>
            <w:tcW w:w="3108" w:type="dxa"/>
          </w:tcPr>
          <w:p w14:paraId="099D3AD3" w14:textId="6A3DF2D3" w:rsidR="00757B89" w:rsidRDefault="00757B89">
            <w:pPr>
              <w:spacing w:before="0" w:after="0" w:line="360" w:lineRule="auto"/>
            </w:pPr>
            <w:r>
              <w:t>74</w:t>
            </w:r>
          </w:p>
        </w:tc>
        <w:tc>
          <w:tcPr>
            <w:tcW w:w="3108" w:type="dxa"/>
          </w:tcPr>
          <w:p w14:paraId="6FE657D6" w14:textId="4E0A2C65" w:rsidR="00757B89" w:rsidRDefault="00757B89">
            <w:pPr>
              <w:spacing w:before="0" w:after="0" w:line="360" w:lineRule="auto"/>
            </w:pPr>
            <w:r>
              <w:t>56</w:t>
            </w:r>
          </w:p>
        </w:tc>
      </w:tr>
      <w:tr w:rsidR="00757B89" w14:paraId="23926158" w14:textId="77777777" w:rsidTr="009A24BC">
        <w:tc>
          <w:tcPr>
            <w:tcW w:w="3107" w:type="dxa"/>
          </w:tcPr>
          <w:p w14:paraId="41450177" w14:textId="2280D842" w:rsidR="00757B89" w:rsidRDefault="00757B89">
            <w:pPr>
              <w:spacing w:before="0" w:after="0" w:line="360" w:lineRule="auto"/>
            </w:pPr>
            <w:r>
              <w:t>Canada</w:t>
            </w:r>
          </w:p>
        </w:tc>
        <w:tc>
          <w:tcPr>
            <w:tcW w:w="3108" w:type="dxa"/>
          </w:tcPr>
          <w:p w14:paraId="0F55FE23" w14:textId="2CD45600" w:rsidR="00757B89" w:rsidRDefault="00757B89">
            <w:pPr>
              <w:spacing w:before="0" w:after="0" w:line="360" w:lineRule="auto"/>
            </w:pPr>
            <w:r>
              <w:t>54</w:t>
            </w:r>
          </w:p>
        </w:tc>
        <w:tc>
          <w:tcPr>
            <w:tcW w:w="3108" w:type="dxa"/>
          </w:tcPr>
          <w:p w14:paraId="71033843" w14:textId="7765E339" w:rsidR="00757B89" w:rsidRDefault="00757B89">
            <w:pPr>
              <w:spacing w:before="0" w:after="0" w:line="360" w:lineRule="auto"/>
            </w:pPr>
            <w:r>
              <w:t>59</w:t>
            </w:r>
          </w:p>
        </w:tc>
      </w:tr>
      <w:tr w:rsidR="00757B89" w14:paraId="232B331F" w14:textId="77777777" w:rsidTr="009A24BC">
        <w:tc>
          <w:tcPr>
            <w:tcW w:w="3107" w:type="dxa"/>
          </w:tcPr>
          <w:p w14:paraId="670B77D0" w14:textId="548CB88E" w:rsidR="00757B89" w:rsidRDefault="00757B89">
            <w:pPr>
              <w:spacing w:before="0" w:after="0" w:line="360" w:lineRule="auto"/>
            </w:pPr>
            <w:r>
              <w:t>Global average</w:t>
            </w:r>
          </w:p>
        </w:tc>
        <w:tc>
          <w:tcPr>
            <w:tcW w:w="3108" w:type="dxa"/>
          </w:tcPr>
          <w:p w14:paraId="3E005E4C" w14:textId="06649BBD" w:rsidR="00757B89" w:rsidRDefault="00757B89">
            <w:pPr>
              <w:spacing w:before="0" w:after="0" w:line="360" w:lineRule="auto"/>
            </w:pPr>
          </w:p>
        </w:tc>
        <w:tc>
          <w:tcPr>
            <w:tcW w:w="3108" w:type="dxa"/>
          </w:tcPr>
          <w:p w14:paraId="2F2E6D7D" w14:textId="5CB754D6" w:rsidR="00757B89" w:rsidRDefault="001E417A">
            <w:pPr>
              <w:spacing w:before="0" w:after="0" w:line="360" w:lineRule="auto"/>
            </w:pPr>
            <w:r>
              <w:t>51</w:t>
            </w:r>
          </w:p>
        </w:tc>
      </w:tr>
    </w:tbl>
    <w:p w14:paraId="741EB6DE" w14:textId="4B7ACA43" w:rsidR="0033343E" w:rsidRDefault="009A24BC">
      <w:pPr>
        <w:spacing w:before="0" w:after="0" w:line="360" w:lineRule="auto"/>
        <w:rPr>
          <w:b/>
          <w:kern w:val="24"/>
          <w:sz w:val="32"/>
          <w:szCs w:val="32"/>
        </w:rPr>
      </w:pPr>
      <w:r>
        <w:t xml:space="preserve"> </w:t>
      </w:r>
      <w:r w:rsidR="0033343E">
        <w:br w:type="page"/>
      </w:r>
    </w:p>
    <w:p w14:paraId="64A7ED06" w14:textId="5E86CACB" w:rsidR="00C57B2E" w:rsidRDefault="00C57B2E" w:rsidP="007F17DE">
      <w:pPr>
        <w:pStyle w:val="Heading3"/>
        <w:spacing w:line="276" w:lineRule="auto"/>
      </w:pPr>
      <w:bookmarkStart w:id="52" w:name="_Toc167782860"/>
      <w:r>
        <w:lastRenderedPageBreak/>
        <w:t>What changed in OBS 2023 from OBS 2019?</w:t>
      </w:r>
      <w:bookmarkEnd w:id="50"/>
      <w:bookmarkEnd w:id="51"/>
      <w:bookmarkEnd w:id="52"/>
    </w:p>
    <w:p w14:paraId="193CE888" w14:textId="5F45EF11" w:rsidR="00C57B2E" w:rsidRDefault="00C57B2E" w:rsidP="007F17DE">
      <w:r w:rsidRPr="001C0351">
        <w:t xml:space="preserve">Oversight was by far the strongest element of the Scottish Budget </w:t>
      </w:r>
      <w:r w:rsidR="000E0D6C" w:rsidRPr="001C0351">
        <w:t>Process;</w:t>
      </w:r>
      <w:r w:rsidRPr="001C0351">
        <w:t xml:space="preserve"> however, a </w:t>
      </w:r>
      <w:r>
        <w:t>few</w:t>
      </w:r>
      <w:r w:rsidRPr="001C0351">
        <w:t xml:space="preserve"> areas of improvement remain. The lack of an overall Pre-Budget Statement mean</w:t>
      </w:r>
      <w:r>
        <w:t>t</w:t>
      </w:r>
      <w:r w:rsidRPr="001C0351">
        <w:t xml:space="preserve"> it was not possible for any oversight body to examine the fiscal policy plans for the forthcoming budget year nor explore the links between policies and budget allocations.  </w:t>
      </w:r>
    </w:p>
    <w:p w14:paraId="50B16BB8" w14:textId="77777777" w:rsidR="00C57B2E" w:rsidRDefault="00C57B2E" w:rsidP="007F17DE">
      <w:r w:rsidRPr="001C0351">
        <w:t xml:space="preserve">International best practice indicates that a Pre-Budget Statement should be published in advance of the more detailed Executive Budget Proposal. It is, however, appreciated that </w:t>
      </w:r>
      <w:r>
        <w:t>this</w:t>
      </w:r>
      <w:r w:rsidRPr="001C0351">
        <w:t xml:space="preserve"> is difficult given the timing of the UK Autumn statement being delivered usually only a few weeks prior to the publication of the Scottish budget proposal.  </w:t>
      </w:r>
    </w:p>
    <w:p w14:paraId="417E422B" w14:textId="254008BE" w:rsidR="00C57B2E" w:rsidRDefault="00C57B2E" w:rsidP="007F17DE">
      <w:r>
        <w:t>The</w:t>
      </w:r>
      <w:r w:rsidRPr="001C0351">
        <w:t xml:space="preserve"> production of </w:t>
      </w:r>
      <w:r>
        <w:t>the</w:t>
      </w:r>
      <w:r w:rsidRPr="001C0351">
        <w:t xml:space="preserve"> Mid-year </w:t>
      </w:r>
      <w:r>
        <w:t xml:space="preserve">report for OBS 2023 did contribute to the </w:t>
      </w:r>
      <w:r w:rsidRPr="001C0351">
        <w:t>improve</w:t>
      </w:r>
      <w:r>
        <w:t>d</w:t>
      </w:r>
      <w:r w:rsidRPr="001C0351">
        <w:t xml:space="preserve"> oversight</w:t>
      </w:r>
      <w:r>
        <w:t xml:space="preserve"> score</w:t>
      </w:r>
      <w:r w:rsidRPr="001C0351">
        <w:t>.</w:t>
      </w:r>
      <w:r>
        <w:t xml:space="preserve"> </w:t>
      </w:r>
      <w:r w:rsidRPr="001C0351">
        <w:t>Best practice would</w:t>
      </w:r>
      <w:r>
        <w:t xml:space="preserve"> also</w:t>
      </w:r>
      <w:r w:rsidRPr="001C0351">
        <w:t xml:space="preserve"> encourage </w:t>
      </w:r>
      <w:r w:rsidRPr="001C0351">
        <w:rPr>
          <w:lang w:eastAsia="en-GB"/>
        </w:rPr>
        <w:t xml:space="preserve">the </w:t>
      </w:r>
      <w:r w:rsidRPr="001C0351">
        <w:t xml:space="preserve">legislature to examine </w:t>
      </w:r>
      <w:r w:rsidR="007A1FBD">
        <w:t>I</w:t>
      </w:r>
      <w:r w:rsidRPr="001C0351">
        <w:t xml:space="preserve">n-year implementation of the Enacted Budget during the relevant budget execution period. This was </w:t>
      </w:r>
      <w:r>
        <w:t xml:space="preserve">still not </w:t>
      </w:r>
      <w:r w:rsidRPr="001C0351">
        <w:t>possible</w:t>
      </w:r>
      <w:r>
        <w:t>,</w:t>
      </w:r>
      <w:r w:rsidRPr="001C0351">
        <w:t xml:space="preserve"> due to lack of</w:t>
      </w:r>
      <w:r w:rsidR="007A1FBD">
        <w:t xml:space="preserve"> publicly available</w:t>
      </w:r>
      <w:r w:rsidRPr="001C0351">
        <w:t xml:space="preserve"> In-year </w:t>
      </w:r>
      <w:r>
        <w:t>R</w:t>
      </w:r>
      <w:r w:rsidRPr="001C0351">
        <w:t>eports</w:t>
      </w:r>
      <w:r>
        <w:t xml:space="preserve"> or any impact assessments of the budget revisions that are made.</w:t>
      </w:r>
    </w:p>
    <w:p w14:paraId="23BD3AAC" w14:textId="77777777" w:rsidR="00C57B2E" w:rsidRPr="001C0351" w:rsidRDefault="00C57B2E" w:rsidP="007F17DE">
      <w:r w:rsidRPr="001C0351">
        <w:t xml:space="preserve">Production of these reports would greatly improve the budget oversight to connect allocation </w:t>
      </w:r>
      <w:r>
        <w:t>to</w:t>
      </w:r>
      <w:r w:rsidRPr="001C0351">
        <w:t xml:space="preserve"> spend and in turn</w:t>
      </w:r>
      <w:r>
        <w:t>,</w:t>
      </w:r>
      <w:r w:rsidRPr="001C0351">
        <w:t xml:space="preserve"> impact and outcomes</w:t>
      </w:r>
      <w:r>
        <w:t>. Thereby supporting</w:t>
      </w:r>
      <w:r w:rsidRPr="001C0351">
        <w:t xml:space="preserve"> the </w:t>
      </w:r>
      <w:r>
        <w:t>development</w:t>
      </w:r>
      <w:r w:rsidRPr="001C0351">
        <w:t xml:space="preserve"> of a greater narrative surrounding budget choices and longer-term projection within the Executive Budget Proposal.</w:t>
      </w:r>
    </w:p>
    <w:p w14:paraId="2D80A42A" w14:textId="71A9B7EA" w:rsidR="00C57B2E" w:rsidRPr="001C0351" w:rsidRDefault="00C57B2E" w:rsidP="007F17DE">
      <w:r w:rsidRPr="00D57D35">
        <w:t xml:space="preserve">Audit Scotland, </w:t>
      </w:r>
      <w:r>
        <w:t xml:space="preserve">the Institute for </w:t>
      </w:r>
      <w:r w:rsidRPr="00D57D35">
        <w:t>F</w:t>
      </w:r>
      <w:r>
        <w:t>iscal Studies, the Fraser of Allander Institute an</w:t>
      </w:r>
      <w:r w:rsidRPr="00D57D35">
        <w:t xml:space="preserve">d others, including the </w:t>
      </w:r>
      <w:r>
        <w:t xml:space="preserve">Scottish Fiscal Commission, provide useful supporting analyses. However, </w:t>
      </w:r>
      <w:r w:rsidRPr="001C0351">
        <w:t xml:space="preserve">the lack of </w:t>
      </w:r>
      <w:r>
        <w:t xml:space="preserve">a more complete picture from </w:t>
      </w:r>
      <w:r w:rsidR="00881916">
        <w:t>The Scottish Government</w:t>
      </w:r>
      <w:r>
        <w:t xml:space="preserve"> key documentation of </w:t>
      </w:r>
      <w:r w:rsidRPr="001C0351">
        <w:t xml:space="preserve">expenditure </w:t>
      </w:r>
      <w:r>
        <w:t xml:space="preserve">data </w:t>
      </w:r>
      <w:r w:rsidRPr="001C0351">
        <w:t xml:space="preserve">presented against original allocation estimates makes it </w:t>
      </w:r>
      <w:r>
        <w:t>challenging</w:t>
      </w:r>
      <w:r w:rsidRPr="001C0351">
        <w:t xml:space="preserve"> to undertake an outcomes-based analysis of the impact of the budget.  </w:t>
      </w:r>
      <w:r>
        <w:t xml:space="preserve">Although progress is being made to consider Scotland’s </w:t>
      </w:r>
      <w:r w:rsidRPr="00250ED2">
        <w:t>National Outcomes</w:t>
      </w:r>
      <w:r>
        <w:rPr>
          <w:rStyle w:val="EndnoteReference"/>
        </w:rPr>
        <w:endnoteReference w:id="17"/>
      </w:r>
      <w:r>
        <w:t xml:space="preserve"> in supplementary budget documents, it is still very superficial. T</w:t>
      </w:r>
      <w:r w:rsidRPr="001C0351">
        <w:t xml:space="preserve">he </w:t>
      </w:r>
      <w:r>
        <w:t>E</w:t>
      </w:r>
      <w:r w:rsidRPr="001C0351">
        <w:t xml:space="preserve">xecutive </w:t>
      </w:r>
      <w:r w:rsidR="00EA7BC7">
        <w:t>B</w:t>
      </w:r>
      <w:r w:rsidRPr="001C0351">
        <w:t xml:space="preserve">udget </w:t>
      </w:r>
      <w:r w:rsidR="00EA7BC7">
        <w:t>P</w:t>
      </w:r>
      <w:r w:rsidRPr="001C0351">
        <w:t xml:space="preserve">roposal </w:t>
      </w:r>
      <w:r>
        <w:t>is</w:t>
      </w:r>
      <w:r w:rsidRPr="001C0351">
        <w:t xml:space="preserve"> not presented in a way that allows for </w:t>
      </w:r>
      <w:r w:rsidRPr="001C0351">
        <w:lastRenderedPageBreak/>
        <w:t>read across to the National Outcomes, which m</w:t>
      </w:r>
      <w:r>
        <w:t>akes</w:t>
      </w:r>
      <w:r w:rsidRPr="001C0351">
        <w:t xml:space="preserve"> it very hard to connect budget to impact and outcomes.  </w:t>
      </w:r>
    </w:p>
    <w:p w14:paraId="3B26A444" w14:textId="5F33CCEE" w:rsidR="00C57B2E" w:rsidRDefault="00C57B2E" w:rsidP="007F17DE">
      <w:r>
        <w:t>The</w:t>
      </w:r>
      <w:r w:rsidRPr="001C0351">
        <w:t xml:space="preserve"> lack of this data also means that </w:t>
      </w:r>
      <w:r>
        <w:t xml:space="preserve">it </w:t>
      </w:r>
      <w:r w:rsidRPr="001C0351">
        <w:t>is</w:t>
      </w:r>
      <w:r>
        <w:t xml:space="preserve"> still</w:t>
      </w:r>
      <w:r w:rsidRPr="001C0351">
        <w:t xml:space="preserve"> not possible to undertake an analysis of the extent to which the budget supports the realisation of rights, especially economic, social and cultural rights</w:t>
      </w:r>
      <w:r>
        <w:t xml:space="preserve"> (ESC)</w:t>
      </w:r>
      <w:r w:rsidRPr="001C0351">
        <w:t xml:space="preserve">. </w:t>
      </w:r>
      <w:r>
        <w:t>This is a key concern for the Commission, as the</w:t>
      </w:r>
      <w:r w:rsidR="00881916">
        <w:t xml:space="preserve"> Scottish Government</w:t>
      </w:r>
      <w:r>
        <w:t xml:space="preserve"> </w:t>
      </w:r>
      <w:r w:rsidR="00DC2BC6">
        <w:t>has stated its intention to</w:t>
      </w:r>
      <w:r>
        <w:t xml:space="preserve"> incorporate ESC rights into Scots Law. Supporting successful implementation of this new legislation requires the ability to assess whether the government is delivering on its human rights obligations (including delivery of Minimum Core; Progressive Realisation, Non-retrogression and Non-discrimination)</w:t>
      </w:r>
      <w:r>
        <w:rPr>
          <w:rStyle w:val="EndnoteReference"/>
        </w:rPr>
        <w:endnoteReference w:id="18"/>
      </w:r>
      <w:r>
        <w:t>.</w:t>
      </w:r>
    </w:p>
    <w:p w14:paraId="5478A9B5" w14:textId="2825B73B" w:rsidR="00C57B2E" w:rsidRDefault="00C57B2E" w:rsidP="007F17DE">
      <w:pPr>
        <w:rPr>
          <w:lang w:val="en"/>
        </w:rPr>
      </w:pPr>
      <w:r w:rsidRPr="001C0351">
        <w:t xml:space="preserve">Oversight by an Independent Fiscal Institution is not yet widespread </w:t>
      </w:r>
      <w:r w:rsidR="00881916" w:rsidRPr="001C0351">
        <w:t>globally;</w:t>
      </w:r>
      <w:r w:rsidRPr="001C0351">
        <w:t xml:space="preserve"> however, Scotland has the Scottish Fiscal Commission. Its independence is set in law, and it </w:t>
      </w:r>
      <w:r w:rsidRPr="001C0351">
        <w:rPr>
          <w:lang w:val="en"/>
        </w:rPr>
        <w:t>produces independent, official forecasts. They base their values on those set out by the Organisation for Economic Co-operation and Development for Independent Fiscal Institutions which requires independence; transparency; accessibility</w:t>
      </w:r>
      <w:r>
        <w:rPr>
          <w:lang w:val="en"/>
        </w:rPr>
        <w:t>;</w:t>
      </w:r>
      <w:r w:rsidRPr="001C0351">
        <w:rPr>
          <w:lang w:val="en"/>
        </w:rPr>
        <w:t xml:space="preserve"> and openness.  At present the Scottish Fiscal Commission fully complies with good practice as defined by the OBS.</w:t>
      </w:r>
    </w:p>
    <w:p w14:paraId="23CBFD6F" w14:textId="77777777" w:rsidR="005E3D70" w:rsidRDefault="005E3D70" w:rsidP="007F17DE">
      <w:pPr>
        <w:rPr>
          <w:rFonts w:cstheme="minorHAnsi"/>
          <w:b/>
          <w:sz w:val="32"/>
          <w:szCs w:val="32"/>
          <w:lang w:val="en"/>
        </w:rPr>
      </w:pPr>
      <w:bookmarkStart w:id="53" w:name="_Toc163647835"/>
      <w:r>
        <w:rPr>
          <w:lang w:val="en"/>
        </w:rPr>
        <w:br w:type="page"/>
      </w:r>
    </w:p>
    <w:p w14:paraId="341358E6" w14:textId="719CB4AB" w:rsidR="00C57B2E" w:rsidRDefault="00C57B2E" w:rsidP="007F17DE">
      <w:pPr>
        <w:pStyle w:val="Heading3"/>
        <w:spacing w:line="276" w:lineRule="auto"/>
        <w:rPr>
          <w:lang w:val="en"/>
        </w:rPr>
      </w:pPr>
      <w:bookmarkStart w:id="54" w:name="_Toc167112889"/>
      <w:bookmarkStart w:id="55" w:name="_Toc167782861"/>
      <w:r>
        <w:rPr>
          <w:lang w:val="en"/>
        </w:rPr>
        <w:lastRenderedPageBreak/>
        <w:t>Oversight Recommendations</w:t>
      </w:r>
      <w:bookmarkEnd w:id="53"/>
      <w:bookmarkEnd w:id="54"/>
      <w:bookmarkEnd w:id="55"/>
    </w:p>
    <w:p w14:paraId="654648B8" w14:textId="326A2463" w:rsidR="00C57B2E" w:rsidRPr="00927982" w:rsidRDefault="00C57B2E" w:rsidP="007F17DE">
      <w:pPr>
        <w:pStyle w:val="Subtitle"/>
        <w:numPr>
          <w:ilvl w:val="0"/>
          <w:numId w:val="8"/>
        </w:numPr>
        <w:rPr>
          <w:rStyle w:val="Emphasis"/>
          <w:i w:val="0"/>
          <w:iCs w:val="0"/>
        </w:rPr>
      </w:pPr>
      <w:r w:rsidRPr="00927982">
        <w:rPr>
          <w:rStyle w:val="Emphasis"/>
          <w:i w:val="0"/>
          <w:iCs w:val="0"/>
        </w:rPr>
        <w:t xml:space="preserve">Those providing oversight should have </w:t>
      </w:r>
      <w:r>
        <w:rPr>
          <w:rStyle w:val="Emphasis"/>
          <w:i w:val="0"/>
          <w:iCs w:val="0"/>
        </w:rPr>
        <w:t xml:space="preserve">timely </w:t>
      </w:r>
      <w:r w:rsidRPr="00927982">
        <w:rPr>
          <w:rStyle w:val="Emphasis"/>
          <w:i w:val="0"/>
          <w:iCs w:val="0"/>
        </w:rPr>
        <w:t>access to all relevant budget documentation for Scotland and should put pressure on the government to produce those documents for future budgets</w:t>
      </w:r>
      <w:r>
        <w:rPr>
          <w:rStyle w:val="Emphasis"/>
          <w:i w:val="0"/>
          <w:iCs w:val="0"/>
        </w:rPr>
        <w:t xml:space="preserve"> </w:t>
      </w:r>
      <w:r>
        <w:t>(</w:t>
      </w:r>
      <w:r w:rsidRPr="000C75F8">
        <w:rPr>
          <w:b/>
          <w:bCs/>
        </w:rPr>
        <w:t>outstanding recommendation from 2019</w:t>
      </w:r>
      <w:r>
        <w:t>).</w:t>
      </w:r>
      <w:r w:rsidRPr="00927982">
        <w:rPr>
          <w:rStyle w:val="Emphasis"/>
          <w:i w:val="0"/>
          <w:iCs w:val="0"/>
        </w:rPr>
        <w:t xml:space="preserve"> </w:t>
      </w:r>
    </w:p>
    <w:p w14:paraId="54609A87" w14:textId="6878F8A0" w:rsidR="00C57B2E" w:rsidRDefault="00C57B2E" w:rsidP="007F17DE">
      <w:pPr>
        <w:pStyle w:val="Subtitle"/>
        <w:numPr>
          <w:ilvl w:val="0"/>
          <w:numId w:val="8"/>
        </w:numPr>
      </w:pPr>
      <w:r w:rsidRPr="00927982">
        <w:rPr>
          <w:rStyle w:val="Emphasis"/>
          <w:i w:val="0"/>
          <w:iCs w:val="0"/>
        </w:rPr>
        <w:t xml:space="preserve">Pre-budget scrutiny through legislative committees could be </w:t>
      </w:r>
      <w:r>
        <w:rPr>
          <w:rStyle w:val="Emphasis"/>
          <w:i w:val="0"/>
          <w:iCs w:val="0"/>
        </w:rPr>
        <w:t xml:space="preserve">further </w:t>
      </w:r>
      <w:r w:rsidRPr="00927982">
        <w:rPr>
          <w:rStyle w:val="Emphasis"/>
          <w:i w:val="0"/>
          <w:iCs w:val="0"/>
        </w:rPr>
        <w:t>improved with a more explicit focus on outcomes-based scrutiny</w:t>
      </w:r>
      <w:r>
        <w:rPr>
          <w:rStyle w:val="Emphasis"/>
          <w:i w:val="0"/>
          <w:iCs w:val="0"/>
        </w:rPr>
        <w:t xml:space="preserve"> (especially when questioning </w:t>
      </w:r>
      <w:r w:rsidR="00881916">
        <w:t>The Scottish Government</w:t>
      </w:r>
      <w:r>
        <w:rPr>
          <w:rStyle w:val="Emphasis"/>
          <w:i w:val="0"/>
          <w:iCs w:val="0"/>
        </w:rPr>
        <w:t xml:space="preserve">) </w:t>
      </w:r>
      <w:r>
        <w:t>(</w:t>
      </w:r>
      <w:r w:rsidRPr="000C75F8">
        <w:rPr>
          <w:b/>
          <w:bCs/>
        </w:rPr>
        <w:t>outstanding recommendation from 2019</w:t>
      </w:r>
      <w:r>
        <w:t xml:space="preserve">). </w:t>
      </w:r>
    </w:p>
    <w:p w14:paraId="19150529" w14:textId="2D02C81D" w:rsidR="00C57B2E" w:rsidRPr="00B177A4" w:rsidRDefault="00C57B2E" w:rsidP="007F17DE">
      <w:pPr>
        <w:pStyle w:val="Subtitle"/>
        <w:numPr>
          <w:ilvl w:val="0"/>
          <w:numId w:val="8"/>
        </w:numPr>
        <w:rPr>
          <w:rStyle w:val="Emphasis"/>
          <w:i w:val="0"/>
          <w:iCs w:val="0"/>
        </w:rPr>
      </w:pPr>
      <w:r w:rsidRPr="00B177A4">
        <w:rPr>
          <w:rStyle w:val="Emphasis"/>
          <w:i w:val="0"/>
          <w:iCs w:val="0"/>
        </w:rPr>
        <w:t xml:space="preserve">Legislative oversight </w:t>
      </w:r>
      <w:r>
        <w:rPr>
          <w:rStyle w:val="Emphasis"/>
          <w:i w:val="0"/>
          <w:iCs w:val="0"/>
        </w:rPr>
        <w:t>should continue to improve during</w:t>
      </w:r>
      <w:r w:rsidRPr="00B177A4">
        <w:rPr>
          <w:rStyle w:val="Emphasis"/>
          <w:i w:val="0"/>
          <w:iCs w:val="0"/>
        </w:rPr>
        <w:t xml:space="preserve"> the implementation stage of the budget cycle. </w:t>
      </w:r>
    </w:p>
    <w:p w14:paraId="7DA0A860" w14:textId="77777777" w:rsidR="00EA17E7" w:rsidRDefault="00EA17E7" w:rsidP="007F17DE">
      <w:pPr>
        <w:rPr>
          <w:b/>
          <w:kern w:val="24"/>
          <w:sz w:val="36"/>
          <w:szCs w:val="36"/>
        </w:rPr>
      </w:pPr>
      <w:bookmarkStart w:id="56" w:name="_Toc163647837"/>
      <w:r>
        <w:br w:type="page"/>
      </w:r>
    </w:p>
    <w:p w14:paraId="429A2D64" w14:textId="595A5CC8" w:rsidR="00C57B2E" w:rsidRDefault="00C57B2E" w:rsidP="00881916">
      <w:pPr>
        <w:pStyle w:val="Heading2"/>
      </w:pPr>
      <w:bookmarkStart w:id="57" w:name="_Toc167112819"/>
      <w:bookmarkStart w:id="58" w:name="_Toc167112890"/>
      <w:bookmarkStart w:id="59" w:name="_Toc167782862"/>
      <w:r>
        <w:lastRenderedPageBreak/>
        <w:t>Conclusion</w:t>
      </w:r>
      <w:bookmarkEnd w:id="56"/>
      <w:bookmarkEnd w:id="57"/>
      <w:bookmarkEnd w:id="58"/>
      <w:bookmarkEnd w:id="59"/>
    </w:p>
    <w:p w14:paraId="2191D534" w14:textId="77777777" w:rsidR="00C76A3E" w:rsidRDefault="00C76A3E" w:rsidP="007F17DE">
      <w:r>
        <w:t>The current fiscal climate is one of the hardest times in recent history, with tough decisions required within a tight fiscal envelope. It has never been more important for Scotland’s budgetary decisions to be open and transparent in order to support public engagement and facilitate formal and informal oversight.</w:t>
      </w:r>
    </w:p>
    <w:p w14:paraId="4CE9B5B3" w14:textId="18F14EAC" w:rsidR="00240538" w:rsidRDefault="00C76A3E" w:rsidP="007F17DE">
      <w:bookmarkStart w:id="60" w:name="_Hlk165911737"/>
      <w:r>
        <w:t>OBS 2023 results for Scotland represent steady progress since 2019</w:t>
      </w:r>
      <w:r w:rsidR="00734260">
        <w:t xml:space="preserve">, with all three scores now sitting higher than the </w:t>
      </w:r>
      <w:r w:rsidR="00240538">
        <w:t>respective g</w:t>
      </w:r>
      <w:r w:rsidR="00734260">
        <w:t xml:space="preserve">lobal </w:t>
      </w:r>
      <w:r w:rsidR="00240538">
        <w:t>a</w:t>
      </w:r>
      <w:r w:rsidR="00734260">
        <w:t>verages</w:t>
      </w:r>
      <w:r>
        <w:t>. In comparison globally</w:t>
      </w:r>
      <w:r w:rsidR="00734260">
        <w:t xml:space="preserve">, most encouraging is </w:t>
      </w:r>
      <w:r w:rsidR="00240538">
        <w:t xml:space="preserve">the fact </w:t>
      </w:r>
      <w:r w:rsidR="00734260">
        <w:t xml:space="preserve">that Scotland has made progress across all three areas of Open Budgeting, at a time where many countries with more established better practice have stalled or slipped backwards. Scotland’s score for Budget Oversight also sits at the top of the table compared to all countries in the OBS 2023. </w:t>
      </w:r>
    </w:p>
    <w:p w14:paraId="72ACE210" w14:textId="094D5859" w:rsidR="00C76A3E" w:rsidRDefault="00C76A3E" w:rsidP="007F17DE">
      <w:r>
        <w:t xml:space="preserve">However, </w:t>
      </w:r>
      <w:r w:rsidR="00240538">
        <w:t xml:space="preserve">the modest </w:t>
      </w:r>
      <w:r>
        <w:t xml:space="preserve">progress in fiscal transparency is not yet translating into opportunities </w:t>
      </w:r>
      <w:r w:rsidR="000E0D6C">
        <w:t xml:space="preserve">for </w:t>
      </w:r>
      <w:r>
        <w:t xml:space="preserve">meaningful public engagement </w:t>
      </w:r>
      <w:r w:rsidR="00240538">
        <w:t>with the</w:t>
      </w:r>
      <w:r>
        <w:t xml:space="preserve"> budget. Progress also remains insufficient to facilitate a rights-based analysis of the budget, which is concerning as Scotland progresses to incorporate Economic, Social and Cultural rights into domestic law.</w:t>
      </w:r>
    </w:p>
    <w:p w14:paraId="7F8137E4" w14:textId="4645FC40" w:rsidR="00C76A3E" w:rsidRPr="007F4363" w:rsidRDefault="00C76A3E" w:rsidP="007F17DE">
      <w:bookmarkStart w:id="61" w:name="_Hlk165911759"/>
      <w:bookmarkEnd w:id="60"/>
      <w:r>
        <w:t xml:space="preserve">The potential remains for Scotland to both share their good practice in formal oversight, as well as learn from the success of other countries with regards to more transparent and participative systems. A repeat of this </w:t>
      </w:r>
      <w:r w:rsidR="00CA3D59">
        <w:t>Survey</w:t>
      </w:r>
      <w:r>
        <w:t xml:space="preserve"> in line with OBS 2027 (budget year 2025-26) will provide a good indication of the extent of progress that has been made in line with the findings and recommendations of this report.</w:t>
      </w:r>
    </w:p>
    <w:bookmarkEnd w:id="61"/>
    <w:p w14:paraId="0DEE9CA9" w14:textId="77777777" w:rsidR="00C57B2E" w:rsidRPr="00AB1375" w:rsidRDefault="00C57B2E" w:rsidP="007F17DE"/>
    <w:p w14:paraId="00D69D98" w14:textId="77777777" w:rsidR="00FC3B7D" w:rsidRDefault="00FC3B7D" w:rsidP="007F17DE">
      <w:pPr>
        <w:rPr>
          <w:b/>
          <w:kern w:val="24"/>
          <w:sz w:val="36"/>
          <w:szCs w:val="36"/>
        </w:rPr>
      </w:pPr>
      <w:bookmarkStart w:id="62" w:name="_Toc163647838"/>
      <w:r>
        <w:br w:type="page"/>
      </w:r>
    </w:p>
    <w:p w14:paraId="15FCB918" w14:textId="3279AC60" w:rsidR="00C57B2E" w:rsidRPr="00690547" w:rsidRDefault="00C57B2E" w:rsidP="00881916">
      <w:pPr>
        <w:pStyle w:val="Heading2"/>
      </w:pPr>
      <w:bookmarkStart w:id="63" w:name="_Toc167112820"/>
      <w:bookmarkStart w:id="64" w:name="_Toc167112891"/>
      <w:bookmarkStart w:id="65" w:name="_Toc167782863"/>
      <w:r w:rsidRPr="00690547">
        <w:lastRenderedPageBreak/>
        <w:t>Appendix 1 – Methodology</w:t>
      </w:r>
      <w:bookmarkEnd w:id="62"/>
      <w:bookmarkEnd w:id="63"/>
      <w:bookmarkEnd w:id="64"/>
      <w:bookmarkEnd w:id="65"/>
    </w:p>
    <w:p w14:paraId="1B557BF4" w14:textId="18C30618" w:rsidR="00C57B2E" w:rsidRDefault="00C57B2E" w:rsidP="007F17DE">
      <w:r>
        <w:t>The Open Budget Survey (OBS) is used to produce the only global, independent, comparative measure of budget transparency of national governments. The UK government’s budget process is assessed by the OBS, however as a sub-national government, the</w:t>
      </w:r>
      <w:r w:rsidR="00881916">
        <w:t xml:space="preserve"> Scottish Government</w:t>
      </w:r>
      <w:r>
        <w:t xml:space="preserve"> is not included. </w:t>
      </w:r>
    </w:p>
    <w:p w14:paraId="3980F5E4" w14:textId="716A4FE1" w:rsidR="00C57B2E" w:rsidRDefault="00C57B2E" w:rsidP="007F17DE">
      <w:r>
        <w:t xml:space="preserve">This </w:t>
      </w:r>
      <w:r w:rsidR="00EA6C24">
        <w:t xml:space="preserve">report </w:t>
      </w:r>
      <w:r>
        <w:t>repeat</w:t>
      </w:r>
      <w:r w:rsidR="000E0D6C">
        <w:t>s</w:t>
      </w:r>
      <w:r>
        <w:t xml:space="preserve"> a process </w:t>
      </w:r>
      <w:r w:rsidR="000E0D6C">
        <w:t xml:space="preserve">the Commission </w:t>
      </w:r>
      <w:r>
        <w:t>followed in 2019</w:t>
      </w:r>
      <w:r w:rsidR="000E0D6C">
        <w:t>,</w:t>
      </w:r>
      <w:r>
        <w:t xml:space="preserve"> using the detailed OBS methodology in order to produce scoring for Scotland that is modelled on the OBI and Scores for Oversight and Public Participation. However, while the International Budget Partnership (IBP) – which manages the OBS – were supportive of this project, it is important to acknowledge that the official OBS does not incorporate sub-national governments nor the findings of this report. </w:t>
      </w:r>
    </w:p>
    <w:p w14:paraId="2365F2CA" w14:textId="77777777" w:rsidR="00C57B2E" w:rsidRDefault="00C57B2E" w:rsidP="004F4C76">
      <w:pPr>
        <w:pStyle w:val="Heading3"/>
      </w:pPr>
      <w:bookmarkStart w:id="66" w:name="_Toc163647839"/>
      <w:bookmarkStart w:id="67" w:name="_Toc167112892"/>
      <w:bookmarkStart w:id="68" w:name="_Toc167782864"/>
      <w:r>
        <w:t>The Survey</w:t>
      </w:r>
      <w:bookmarkEnd w:id="66"/>
      <w:bookmarkEnd w:id="67"/>
      <w:bookmarkEnd w:id="68"/>
      <w:r>
        <w:t xml:space="preserve"> </w:t>
      </w:r>
    </w:p>
    <w:p w14:paraId="191FE363" w14:textId="1E12B954" w:rsidR="00C57B2E" w:rsidRDefault="00C57B2E" w:rsidP="007F17DE">
      <w:r>
        <w:t xml:space="preserve">According to the OBS methodology, the majority of survey questions require a response to be chosen from five responses. Responses “a” or “b” describe best or good practice; with “a” indicating that the standard is fully met or exceeded, and “b” indicating the basic elements of the standard have been met or largely met. Response “c” corresponds to minimal efforts to attain the relevant standard, while “d” indicates that the standard is not met at all. An “e” response indicates that the standard is not applicable, for example, when an OECD country is asked about the foreign aid it receives. Certain questions, however, have only three possible responses: “a” (standard met), “b” (standard not met), or “c” (not applicable). </w:t>
      </w:r>
    </w:p>
    <w:p w14:paraId="776302AF" w14:textId="4F5C831D" w:rsidR="00C57B2E" w:rsidRDefault="00C57B2E" w:rsidP="007F17DE">
      <w:r>
        <w:t>Once completed, the questionnaire responses are quantified. For the questions with five response options: an “a” receives a numeric score of 100, a “b” receives 67, “c” receives 33, and “d” receives 0. Questions receiving an “e” are not included in the country’s aggregated scores. For the questions with three response options: “a” receives 100, “b” receives 0, and “c” responses are not included in the aggregated score.</w:t>
      </w:r>
      <w:r>
        <w:rPr>
          <w:rStyle w:val="EndnoteReference"/>
        </w:rPr>
        <w:endnoteReference w:id="19"/>
      </w:r>
    </w:p>
    <w:p w14:paraId="2C6AFCD8" w14:textId="3D3E735C" w:rsidR="00C57B2E" w:rsidRDefault="00C57B2E" w:rsidP="007F17DE">
      <w:r>
        <w:lastRenderedPageBreak/>
        <w:t>The Research Process Data was collected in Scotland between December 2022 and March 2023. This assessment for Scotland only covers those events, activities, or developments that should have occurred up to 31</w:t>
      </w:r>
      <w:r w:rsidR="00EA6C24" w:rsidRPr="00EA6C24">
        <w:rPr>
          <w:vertAlign w:val="superscript"/>
        </w:rPr>
        <w:t>st</w:t>
      </w:r>
      <w:r>
        <w:t xml:space="preserve"> December 2022; anything occurring thereafter are not accounted for in the 2019 survey results. </w:t>
      </w:r>
    </w:p>
    <w:p w14:paraId="1F72BB52" w14:textId="77777777" w:rsidR="00C57B2E" w:rsidRDefault="00C57B2E" w:rsidP="007F17DE">
      <w:r>
        <w:t>In accordance with the OBS methodology “all responses to the OBS questions are supported by evidence. This includes citations from budget documents; the country’s laws; or interviews with government officials, legislators, or experts on the country’s budget process”.</w:t>
      </w:r>
      <w:r>
        <w:rPr>
          <w:rStyle w:val="EndnoteReference"/>
        </w:rPr>
        <w:endnoteReference w:id="20"/>
      </w:r>
      <w:r>
        <w:t xml:space="preserve"> During the research process, a member of IBP staff assisted the researcher in following the survey methodology, particularly the guidelines for answering survey questions. </w:t>
      </w:r>
    </w:p>
    <w:p w14:paraId="0F88EBE5" w14:textId="77777777" w:rsidR="00C57B2E" w:rsidRDefault="00C57B2E" w:rsidP="007F17DE">
      <w:r>
        <w:t>Upon completion, the survey was shared with IBP to ensure an internal consistency within the Scottish process as well as consistency between Scotland and all main OBS survey countries.</w:t>
      </w:r>
      <w:r>
        <w:rPr>
          <w:rStyle w:val="EndnoteReference"/>
        </w:rPr>
        <w:endnoteReference w:id="21"/>
      </w:r>
      <w:r>
        <w:t xml:space="preserve"> The Commission also invited Executive and Oversight engagement on the draft OBS results. Engagement with Audit Scotland (Oversight) was especially useful as there are a number of differences between the role of Audit Scotland as a Regional Audit Institution and the Supreme Audit Institution (UK body) which required some interpretation of the questions so as to bring out their domestic relevance. The Commission then responded to comments provided by Audit Scotland. </w:t>
      </w:r>
    </w:p>
    <w:p w14:paraId="12CE5F06" w14:textId="5610B71A" w:rsidR="00C57B2E" w:rsidRDefault="00C57B2E" w:rsidP="007F17DE">
      <w:r>
        <w:t xml:space="preserve">In OBS 2019, </w:t>
      </w:r>
      <w:r w:rsidR="00881916">
        <w:t>The Scottish Government</w:t>
      </w:r>
      <w:r w:rsidR="00EA7BC7">
        <w:t xml:space="preserve"> </w:t>
      </w:r>
      <w:r>
        <w:t>did not respond to requests to support a review of and discussion about the survey findings. For OBS 2023, the Commission can positive</w:t>
      </w:r>
      <w:r w:rsidR="00CB6D2D">
        <w:t>ly</w:t>
      </w:r>
      <w:r>
        <w:t xml:space="preserve"> report to have had a commitment from </w:t>
      </w:r>
      <w:r w:rsidR="00881916">
        <w:t>The Scottish Government</w:t>
      </w:r>
      <w:r>
        <w:t xml:space="preserve"> to fully engage with the survey process – indeed it was a condition of the Commission performing the </w:t>
      </w:r>
      <w:r w:rsidR="00634036">
        <w:t>s</w:t>
      </w:r>
      <w:r>
        <w:t>urvey review for 2023. The commitment to engage was made th</w:t>
      </w:r>
      <w:r w:rsidR="00EA6C24">
        <w:t>r</w:t>
      </w:r>
      <w:r>
        <w:t>ough the Open Government Partnership</w:t>
      </w:r>
      <w:r>
        <w:rPr>
          <w:rStyle w:val="EndnoteReference"/>
        </w:rPr>
        <w:endnoteReference w:id="22"/>
      </w:r>
      <w:r>
        <w:t>, and the commitment to review the recommendations from this Survey was made in response to the Equality and Human Rights Budget Advisory Group 2021 Recommendations.</w:t>
      </w:r>
      <w:r>
        <w:rPr>
          <w:rStyle w:val="EndnoteReference"/>
        </w:rPr>
        <w:endnoteReference w:id="23"/>
      </w:r>
      <w:r>
        <w:t xml:space="preserve"> Over the summer of 2023, the Head of Budget Progress and their team reviewed the Survey findings. In August a half day’s constructive </w:t>
      </w:r>
      <w:r>
        <w:lastRenderedPageBreak/>
        <w:t>discussion was held between the Head of Budget Progress, the Commission’s Project Lead and the Survey Researcher. This provided an opportunity for the government to better understand why scores were allocated as they were and reflect on learning necessary for improvement. Potential draft recommendations were also discussed.</w:t>
      </w:r>
    </w:p>
    <w:p w14:paraId="122030D0" w14:textId="77777777" w:rsidR="00C57B2E" w:rsidRDefault="00C57B2E" w:rsidP="007F17DE">
      <w:r>
        <w:t>This report was drafted in early 2024 and finalised to include comparison with the Global Scores in May 2024.</w:t>
      </w:r>
    </w:p>
    <w:p w14:paraId="6651B424" w14:textId="77777777" w:rsidR="00FC3B7D" w:rsidRDefault="00FC3B7D" w:rsidP="007F17DE">
      <w:pPr>
        <w:rPr>
          <w:b/>
          <w:kern w:val="24"/>
          <w:sz w:val="36"/>
          <w:szCs w:val="36"/>
        </w:rPr>
      </w:pPr>
      <w:bookmarkStart w:id="69" w:name="_Toc163647840"/>
      <w:r>
        <w:br w:type="page"/>
      </w:r>
    </w:p>
    <w:p w14:paraId="77FD67E9" w14:textId="16E18FAE" w:rsidR="00C57B2E" w:rsidRDefault="00C57B2E" w:rsidP="00881916">
      <w:pPr>
        <w:pStyle w:val="Heading2"/>
      </w:pPr>
      <w:bookmarkStart w:id="70" w:name="_Appendix_2_–"/>
      <w:bookmarkStart w:id="71" w:name="_Toc167112821"/>
      <w:bookmarkStart w:id="72" w:name="_Toc167112893"/>
      <w:bookmarkStart w:id="73" w:name="_Toc167782865"/>
      <w:bookmarkEnd w:id="70"/>
      <w:r>
        <w:lastRenderedPageBreak/>
        <w:t>Appendix 2 – Further information about budget documents assessed by the OBS</w:t>
      </w:r>
      <w:bookmarkEnd w:id="69"/>
      <w:bookmarkEnd w:id="71"/>
      <w:bookmarkEnd w:id="72"/>
      <w:bookmarkEnd w:id="73"/>
      <w:r>
        <w:t xml:space="preserve"> </w:t>
      </w:r>
    </w:p>
    <w:p w14:paraId="4F88595E" w14:textId="521A3C35" w:rsidR="00C57B2E" w:rsidRDefault="00C57B2E" w:rsidP="00993BD0">
      <w:pPr>
        <w:pStyle w:val="Heading3"/>
      </w:pPr>
      <w:bookmarkStart w:id="74" w:name="_Toc163647841"/>
      <w:bookmarkStart w:id="75" w:name="_Toc167112894"/>
      <w:bookmarkStart w:id="76" w:name="_Toc167782866"/>
      <w:r>
        <w:t>Pre-Budget Statement</w:t>
      </w:r>
      <w:bookmarkEnd w:id="74"/>
      <w:bookmarkEnd w:id="75"/>
      <w:bookmarkEnd w:id="76"/>
    </w:p>
    <w:p w14:paraId="3CD95193" w14:textId="241AAA4F" w:rsidR="00C57B2E" w:rsidRPr="00887FAF" w:rsidRDefault="00C57B2E" w:rsidP="00993BD0">
      <w:pPr>
        <w:pStyle w:val="Heading4"/>
      </w:pPr>
      <w:bookmarkStart w:id="77" w:name="_Toc167112895"/>
      <w:r w:rsidRPr="00887FAF">
        <w:t>What it is and why it is important</w:t>
      </w:r>
      <w:bookmarkEnd w:id="77"/>
    </w:p>
    <w:p w14:paraId="781B59DA" w14:textId="77777777" w:rsidR="00C57B2E" w:rsidRDefault="00C57B2E" w:rsidP="007F17DE">
      <w:r>
        <w:t>A Pre-Budget Statement is a document which should present the fiscal policy plans for the forthcoming budget year. This should be published in advance of the more detailed draft budget or Executive Budget Proposal. It provides a means by which the public can make links between policies and budget allocations. As noted by the OECD in its Best Practices for Budget Transparency, the Pre-Budget Statement “serves to encourage debate on the budget aggregates and how they interact with the economy… [thereby creating] appropriate expectations for the budget itself.”</w:t>
      </w:r>
      <w:r>
        <w:rPr>
          <w:rStyle w:val="EndnoteReference"/>
        </w:rPr>
        <w:endnoteReference w:id="24"/>
      </w:r>
    </w:p>
    <w:p w14:paraId="4C52FE26" w14:textId="4B4E8F15" w:rsidR="00C57B2E" w:rsidRDefault="00C57B2E" w:rsidP="007F17DE">
      <w:bookmarkStart w:id="78" w:name="_Toc167112896"/>
      <w:r>
        <w:t xml:space="preserve">Table </w:t>
      </w:r>
      <w:r w:rsidR="00DB4D8C">
        <w:t>10</w:t>
      </w:r>
      <w:r>
        <w:t xml:space="preserve"> - Transparency in the Pre-budget Statement</w:t>
      </w:r>
      <w:r>
        <w:rPr>
          <w:rStyle w:val="EndnoteReference"/>
        </w:rPr>
        <w:endnoteReference w:id="25"/>
      </w:r>
      <w:bookmarkEnd w:id="78"/>
    </w:p>
    <w:tbl>
      <w:tblPr>
        <w:tblStyle w:val="TableGrid"/>
        <w:tblW w:w="0" w:type="auto"/>
        <w:tblLook w:val="04A0" w:firstRow="1" w:lastRow="0" w:firstColumn="1" w:lastColumn="0" w:noHBand="0" w:noVBand="1"/>
      </w:tblPr>
      <w:tblGrid>
        <w:gridCol w:w="3107"/>
        <w:gridCol w:w="3108"/>
        <w:gridCol w:w="3108"/>
      </w:tblGrid>
      <w:tr w:rsidR="00C57B2E" w14:paraId="6173BF1A" w14:textId="77777777" w:rsidTr="00571D1C">
        <w:trPr>
          <w:cantSplit/>
          <w:tblHeader/>
        </w:trPr>
        <w:tc>
          <w:tcPr>
            <w:tcW w:w="3107" w:type="dxa"/>
            <w:shd w:val="clear" w:color="auto" w:fill="8BADDC"/>
          </w:tcPr>
          <w:p w14:paraId="26ECDEAF" w14:textId="77777777" w:rsidR="00C57B2E" w:rsidRPr="001A3F5B" w:rsidRDefault="00C57B2E" w:rsidP="007F17DE">
            <w:pPr>
              <w:rPr>
                <w:rStyle w:val="Strong"/>
              </w:rPr>
            </w:pPr>
            <w:r w:rsidRPr="001A3F5B">
              <w:rPr>
                <w:rStyle w:val="Strong"/>
              </w:rPr>
              <w:t>Importance</w:t>
            </w:r>
          </w:p>
        </w:tc>
        <w:tc>
          <w:tcPr>
            <w:tcW w:w="3108" w:type="dxa"/>
            <w:shd w:val="clear" w:color="auto" w:fill="8BADDC"/>
          </w:tcPr>
          <w:p w14:paraId="6827A21C" w14:textId="77777777" w:rsidR="00C57B2E" w:rsidRPr="001A3F5B" w:rsidRDefault="00C57B2E" w:rsidP="007F17DE">
            <w:pPr>
              <w:rPr>
                <w:rStyle w:val="Strong"/>
              </w:rPr>
            </w:pPr>
            <w:r w:rsidRPr="001A3F5B">
              <w:rPr>
                <w:rStyle w:val="Strong"/>
              </w:rPr>
              <w:t>Key Contents</w:t>
            </w:r>
          </w:p>
        </w:tc>
        <w:tc>
          <w:tcPr>
            <w:tcW w:w="3108" w:type="dxa"/>
            <w:shd w:val="clear" w:color="auto" w:fill="8BADDC"/>
          </w:tcPr>
          <w:p w14:paraId="5382F166" w14:textId="77777777" w:rsidR="00C57B2E" w:rsidRPr="001A3F5B" w:rsidRDefault="00C57B2E" w:rsidP="007F17DE">
            <w:pPr>
              <w:rPr>
                <w:rStyle w:val="Strong"/>
              </w:rPr>
            </w:pPr>
            <w:r w:rsidRPr="001A3F5B">
              <w:rPr>
                <w:rStyle w:val="Strong"/>
              </w:rPr>
              <w:t>Publication Time Frame</w:t>
            </w:r>
          </w:p>
        </w:tc>
      </w:tr>
      <w:tr w:rsidR="00C57B2E" w14:paraId="3E967B87" w14:textId="77777777" w:rsidTr="00571D1C">
        <w:trPr>
          <w:trHeight w:val="2833"/>
        </w:trPr>
        <w:tc>
          <w:tcPr>
            <w:tcW w:w="3107" w:type="dxa"/>
          </w:tcPr>
          <w:p w14:paraId="30773B9D" w14:textId="77777777" w:rsidR="00C57B2E" w:rsidRPr="00571D1C" w:rsidRDefault="00C57B2E" w:rsidP="007F17DE">
            <w:pPr>
              <w:pStyle w:val="TableNormal1"/>
              <w:numPr>
                <w:ilvl w:val="0"/>
                <w:numId w:val="19"/>
              </w:numPr>
              <w:spacing w:before="240" w:after="240" w:line="276" w:lineRule="auto"/>
              <w:ind w:left="313"/>
              <w:rPr>
                <w:sz w:val="28"/>
                <w:szCs w:val="28"/>
              </w:rPr>
            </w:pPr>
            <w:r w:rsidRPr="00571D1C">
              <w:rPr>
                <w:sz w:val="28"/>
                <w:szCs w:val="28"/>
              </w:rPr>
              <w:t xml:space="preserve">Strengthens link between policies and budget allocations </w:t>
            </w:r>
          </w:p>
          <w:p w14:paraId="6936B07A" w14:textId="77777777" w:rsidR="00C57B2E" w:rsidRPr="00571D1C" w:rsidRDefault="00C57B2E" w:rsidP="007F17DE">
            <w:pPr>
              <w:pStyle w:val="TableNormal1"/>
              <w:numPr>
                <w:ilvl w:val="0"/>
                <w:numId w:val="19"/>
              </w:numPr>
              <w:spacing w:before="240" w:after="240" w:line="276" w:lineRule="auto"/>
              <w:ind w:left="313"/>
              <w:rPr>
                <w:sz w:val="28"/>
                <w:szCs w:val="28"/>
              </w:rPr>
            </w:pPr>
            <w:r w:rsidRPr="00571D1C">
              <w:rPr>
                <w:sz w:val="28"/>
                <w:szCs w:val="28"/>
              </w:rPr>
              <w:t xml:space="preserve">Identifies government’s basic strategy for the medium term </w:t>
            </w:r>
          </w:p>
          <w:p w14:paraId="721D2C3B" w14:textId="77777777" w:rsidR="00C57B2E" w:rsidRPr="00571D1C" w:rsidRDefault="00C57B2E" w:rsidP="007F17DE">
            <w:pPr>
              <w:pStyle w:val="TableNormal1"/>
              <w:numPr>
                <w:ilvl w:val="0"/>
                <w:numId w:val="19"/>
              </w:numPr>
              <w:spacing w:before="240" w:after="240" w:line="276" w:lineRule="auto"/>
              <w:ind w:left="313"/>
              <w:rPr>
                <w:sz w:val="28"/>
                <w:szCs w:val="28"/>
              </w:rPr>
            </w:pPr>
            <w:r w:rsidRPr="00571D1C">
              <w:rPr>
                <w:sz w:val="28"/>
                <w:szCs w:val="28"/>
              </w:rPr>
              <w:t xml:space="preserve">Improves the rationality of the </w:t>
            </w:r>
            <w:r w:rsidRPr="00571D1C">
              <w:rPr>
                <w:sz w:val="28"/>
                <w:szCs w:val="28"/>
              </w:rPr>
              <w:lastRenderedPageBreak/>
              <w:t xml:space="preserve">budget formulation process </w:t>
            </w:r>
          </w:p>
          <w:p w14:paraId="6436D38F" w14:textId="77777777" w:rsidR="00C57B2E" w:rsidRPr="00571D1C" w:rsidRDefault="00C57B2E" w:rsidP="007F17DE">
            <w:pPr>
              <w:pStyle w:val="TableNormal1"/>
              <w:numPr>
                <w:ilvl w:val="0"/>
                <w:numId w:val="19"/>
              </w:numPr>
              <w:spacing w:before="240" w:after="240" w:line="276" w:lineRule="auto"/>
              <w:ind w:left="313"/>
              <w:rPr>
                <w:sz w:val="28"/>
                <w:szCs w:val="28"/>
              </w:rPr>
            </w:pPr>
            <w:r w:rsidRPr="00571D1C">
              <w:rPr>
                <w:sz w:val="28"/>
                <w:szCs w:val="28"/>
              </w:rPr>
              <w:t xml:space="preserve">Calibrates expectations for the budget </w:t>
            </w:r>
          </w:p>
          <w:p w14:paraId="265F062B" w14:textId="77777777" w:rsidR="00C57B2E" w:rsidRDefault="00C57B2E" w:rsidP="007F17DE">
            <w:pPr>
              <w:pStyle w:val="TableNormal1"/>
              <w:numPr>
                <w:ilvl w:val="0"/>
                <w:numId w:val="19"/>
              </w:numPr>
              <w:spacing w:before="240" w:after="240" w:line="276" w:lineRule="auto"/>
              <w:ind w:left="313"/>
            </w:pPr>
            <w:r w:rsidRPr="00571D1C">
              <w:rPr>
                <w:sz w:val="28"/>
                <w:szCs w:val="28"/>
              </w:rPr>
              <w:t>Allows legislators and the public to provide input on broad budget themes</w:t>
            </w:r>
          </w:p>
        </w:tc>
        <w:tc>
          <w:tcPr>
            <w:tcW w:w="3108" w:type="dxa"/>
          </w:tcPr>
          <w:p w14:paraId="267C64B5" w14:textId="77777777" w:rsidR="00C57B2E" w:rsidRPr="00571D1C" w:rsidRDefault="00C57B2E" w:rsidP="007F17DE">
            <w:pPr>
              <w:pStyle w:val="TableNormal1"/>
              <w:numPr>
                <w:ilvl w:val="0"/>
                <w:numId w:val="21"/>
              </w:numPr>
              <w:spacing w:before="240" w:after="240" w:line="276" w:lineRule="auto"/>
              <w:ind w:left="327"/>
              <w:rPr>
                <w:sz w:val="28"/>
                <w:szCs w:val="28"/>
              </w:rPr>
            </w:pPr>
            <w:r w:rsidRPr="00571D1C">
              <w:rPr>
                <w:sz w:val="28"/>
                <w:szCs w:val="28"/>
              </w:rPr>
              <w:lastRenderedPageBreak/>
              <w:t>Macroeconomic forecast over the medium term</w:t>
            </w:r>
          </w:p>
          <w:p w14:paraId="0D30395E" w14:textId="77777777" w:rsidR="00C57B2E" w:rsidRPr="00571D1C" w:rsidRDefault="00C57B2E" w:rsidP="007F17DE">
            <w:pPr>
              <w:pStyle w:val="TableNormal1"/>
              <w:numPr>
                <w:ilvl w:val="0"/>
                <w:numId w:val="21"/>
              </w:numPr>
              <w:spacing w:before="240" w:after="240" w:line="276" w:lineRule="auto"/>
              <w:ind w:left="327"/>
              <w:rPr>
                <w:sz w:val="28"/>
                <w:szCs w:val="28"/>
              </w:rPr>
            </w:pPr>
            <w:r w:rsidRPr="00571D1C">
              <w:rPr>
                <w:sz w:val="28"/>
                <w:szCs w:val="28"/>
              </w:rPr>
              <w:t>Government’s fiscal objectives over the medium term</w:t>
            </w:r>
          </w:p>
          <w:p w14:paraId="0E1574D0" w14:textId="77777777" w:rsidR="00C57B2E" w:rsidRPr="00571D1C" w:rsidRDefault="00C57B2E" w:rsidP="007F17DE">
            <w:pPr>
              <w:pStyle w:val="TableNormal1"/>
              <w:numPr>
                <w:ilvl w:val="0"/>
                <w:numId w:val="21"/>
              </w:numPr>
              <w:spacing w:before="240" w:after="240" w:line="276" w:lineRule="auto"/>
              <w:ind w:left="327"/>
              <w:rPr>
                <w:sz w:val="28"/>
                <w:szCs w:val="28"/>
              </w:rPr>
            </w:pPr>
            <w:r w:rsidRPr="00571D1C">
              <w:rPr>
                <w:sz w:val="28"/>
                <w:szCs w:val="28"/>
              </w:rPr>
              <w:t>Broad sectoral allocations</w:t>
            </w:r>
          </w:p>
          <w:p w14:paraId="682F02BD" w14:textId="77777777" w:rsidR="00C57B2E" w:rsidRPr="00571D1C" w:rsidRDefault="00C57B2E" w:rsidP="007F17DE">
            <w:pPr>
              <w:pStyle w:val="TableNormal1"/>
              <w:numPr>
                <w:ilvl w:val="0"/>
                <w:numId w:val="21"/>
              </w:numPr>
              <w:spacing w:before="240" w:after="240" w:line="276" w:lineRule="auto"/>
              <w:ind w:left="327"/>
              <w:rPr>
                <w:sz w:val="28"/>
                <w:szCs w:val="28"/>
              </w:rPr>
            </w:pPr>
            <w:r w:rsidRPr="00571D1C">
              <w:rPr>
                <w:sz w:val="28"/>
                <w:szCs w:val="28"/>
              </w:rPr>
              <w:lastRenderedPageBreak/>
              <w:t xml:space="preserve">Expectations for broad categories of taxes and revenues </w:t>
            </w:r>
          </w:p>
          <w:p w14:paraId="6E88E8D2" w14:textId="77777777" w:rsidR="00C57B2E" w:rsidRPr="00571D1C" w:rsidRDefault="00C57B2E" w:rsidP="007F17DE">
            <w:pPr>
              <w:pStyle w:val="TableNormal1"/>
              <w:numPr>
                <w:ilvl w:val="0"/>
                <w:numId w:val="21"/>
              </w:numPr>
              <w:spacing w:before="240" w:after="240" w:line="276" w:lineRule="auto"/>
              <w:ind w:left="327"/>
              <w:rPr>
                <w:sz w:val="28"/>
                <w:szCs w:val="28"/>
              </w:rPr>
            </w:pPr>
            <w:r w:rsidRPr="00571D1C">
              <w:rPr>
                <w:sz w:val="28"/>
                <w:szCs w:val="28"/>
              </w:rPr>
              <w:t>Description and cost of new policy measures</w:t>
            </w:r>
          </w:p>
        </w:tc>
        <w:tc>
          <w:tcPr>
            <w:tcW w:w="3108" w:type="dxa"/>
          </w:tcPr>
          <w:p w14:paraId="1558AA2A" w14:textId="77777777" w:rsidR="00C57B2E" w:rsidRPr="00571D1C" w:rsidRDefault="00C57B2E" w:rsidP="007F17DE">
            <w:pPr>
              <w:pStyle w:val="TableNormal1"/>
              <w:numPr>
                <w:ilvl w:val="0"/>
                <w:numId w:val="21"/>
              </w:numPr>
              <w:spacing w:before="240" w:after="240" w:line="276" w:lineRule="auto"/>
              <w:ind w:left="327"/>
              <w:rPr>
                <w:sz w:val="28"/>
                <w:szCs w:val="28"/>
              </w:rPr>
            </w:pPr>
            <w:r w:rsidRPr="00571D1C">
              <w:rPr>
                <w:sz w:val="28"/>
                <w:szCs w:val="28"/>
              </w:rPr>
              <w:lastRenderedPageBreak/>
              <w:t xml:space="preserve">Ideally, in the fourth or fifth month of previous budget year </w:t>
            </w:r>
          </w:p>
          <w:p w14:paraId="0584DA10" w14:textId="77777777" w:rsidR="00C57B2E" w:rsidRPr="00571D1C" w:rsidRDefault="00C57B2E" w:rsidP="007F17DE">
            <w:pPr>
              <w:pStyle w:val="TableNormal1"/>
              <w:numPr>
                <w:ilvl w:val="0"/>
                <w:numId w:val="21"/>
              </w:numPr>
              <w:spacing w:before="240" w:after="240" w:line="276" w:lineRule="auto"/>
              <w:ind w:left="327"/>
              <w:rPr>
                <w:sz w:val="28"/>
                <w:szCs w:val="28"/>
              </w:rPr>
            </w:pPr>
            <w:r w:rsidRPr="00571D1C">
              <w:rPr>
                <w:sz w:val="28"/>
                <w:szCs w:val="28"/>
              </w:rPr>
              <w:t xml:space="preserve">Sometimes combined with midterm evaluation of the previous year (seventh month) </w:t>
            </w:r>
          </w:p>
          <w:p w14:paraId="54AE5241" w14:textId="77777777" w:rsidR="00C57B2E" w:rsidRDefault="00C57B2E" w:rsidP="007F17DE">
            <w:pPr>
              <w:pStyle w:val="TableNormal1"/>
              <w:numPr>
                <w:ilvl w:val="0"/>
                <w:numId w:val="21"/>
              </w:numPr>
              <w:spacing w:before="240" w:after="240" w:line="276" w:lineRule="auto"/>
              <w:ind w:left="327"/>
            </w:pPr>
            <w:r w:rsidRPr="00571D1C">
              <w:rPr>
                <w:sz w:val="28"/>
                <w:szCs w:val="28"/>
              </w:rPr>
              <w:t xml:space="preserve">At least one month before publication of </w:t>
            </w:r>
            <w:r w:rsidRPr="00571D1C">
              <w:rPr>
                <w:sz w:val="28"/>
                <w:szCs w:val="28"/>
              </w:rPr>
              <w:lastRenderedPageBreak/>
              <w:t>the Executive’s Budget Proposal</w:t>
            </w:r>
          </w:p>
        </w:tc>
      </w:tr>
    </w:tbl>
    <w:p w14:paraId="75FA0EA0" w14:textId="77777777" w:rsidR="00993BD0" w:rsidRDefault="00993BD0" w:rsidP="00993BD0">
      <w:bookmarkStart w:id="79" w:name="_Toc167112897"/>
    </w:p>
    <w:p w14:paraId="611DA6E7" w14:textId="6092ACBF" w:rsidR="00C57B2E" w:rsidRDefault="00C57B2E" w:rsidP="00993BD0">
      <w:pPr>
        <w:pStyle w:val="Heading4"/>
      </w:pPr>
      <w:r>
        <w:t>Scotland’s Pre-Budget Statement</w:t>
      </w:r>
      <w:bookmarkEnd w:id="79"/>
    </w:p>
    <w:p w14:paraId="4998C96E" w14:textId="0CCD8DD4" w:rsidR="00C57B2E" w:rsidRDefault="00C57B2E" w:rsidP="007F17DE">
      <w:r>
        <w:t>In Scotland there was no Pre-Budget Statement as defined by above for the budget year 2021-22</w:t>
      </w:r>
      <w:r w:rsidRPr="001C3696">
        <w:t>. The question was asked for OBS 2023 if the</w:t>
      </w:r>
      <w:r w:rsidR="00881916">
        <w:t xml:space="preserve"> Scottish Government</w:t>
      </w:r>
      <w:r w:rsidRPr="001C3696">
        <w:t>’s Medium-Term Financial Strategy could be considered a pre-budget statement but given that it was published on the same day as the EBP (28/01/21) it couldn’t have been used to encourage debate on the budget in advance of the EBP like a PBS should.</w:t>
      </w:r>
      <w:r>
        <w:t xml:space="preserve"> As noted </w:t>
      </w:r>
      <w:r w:rsidR="00726D6D">
        <w:t>In Appendix 3</w:t>
      </w:r>
      <w:r>
        <w:t xml:space="preserve"> – with some amendments and appropriate publication timeframe, the MTFS could in future be </w:t>
      </w:r>
      <w:r w:rsidRPr="001C3696">
        <w:t>considered a pre-budget statement</w:t>
      </w:r>
      <w:r>
        <w:t xml:space="preserve">. </w:t>
      </w:r>
    </w:p>
    <w:p w14:paraId="6EB12B6C" w14:textId="77777777" w:rsidR="00D80DDF" w:rsidRDefault="00D80DDF">
      <w:pPr>
        <w:spacing w:before="0" w:after="0" w:line="360" w:lineRule="auto"/>
        <w:rPr>
          <w:rFonts w:eastAsiaTheme="majorEastAsia" w:cstheme="majorBidi"/>
          <w:b/>
          <w:iCs/>
          <w:u w:val="single"/>
        </w:rPr>
      </w:pPr>
      <w:bookmarkStart w:id="80" w:name="_Toc163647842"/>
      <w:bookmarkStart w:id="81" w:name="_Toc167112898"/>
      <w:r>
        <w:br w:type="page"/>
      </w:r>
    </w:p>
    <w:p w14:paraId="05744ED1" w14:textId="2F9B2A43" w:rsidR="00C57B2E" w:rsidRDefault="00C57B2E" w:rsidP="00993BD0">
      <w:pPr>
        <w:pStyle w:val="Heading3"/>
      </w:pPr>
      <w:bookmarkStart w:id="82" w:name="_Toc167782867"/>
      <w:r>
        <w:lastRenderedPageBreak/>
        <w:t>Executive Budget Proposal</w:t>
      </w:r>
      <w:bookmarkEnd w:id="80"/>
      <w:bookmarkEnd w:id="81"/>
      <w:bookmarkEnd w:id="82"/>
      <w:r>
        <w:t xml:space="preserve"> </w:t>
      </w:r>
    </w:p>
    <w:p w14:paraId="5A0050D6" w14:textId="77777777" w:rsidR="00C57B2E" w:rsidRDefault="00C57B2E" w:rsidP="00993BD0">
      <w:pPr>
        <w:pStyle w:val="Heading4"/>
      </w:pPr>
      <w:bookmarkStart w:id="83" w:name="_Toc167112899"/>
      <w:r>
        <w:t>What it is and why it’s important</w:t>
      </w:r>
      <w:bookmarkEnd w:id="83"/>
      <w:r>
        <w:t xml:space="preserve"> </w:t>
      </w:r>
    </w:p>
    <w:p w14:paraId="592A0253" w14:textId="77777777" w:rsidR="00C57B2E" w:rsidRDefault="00C57B2E" w:rsidP="007F17DE">
      <w:r>
        <w:t>The Executive’s Budget Proposal is one of the most important policy documents that a country can issue, as it is this document which presents how the government intends to resource its policy goals. Best practice states that it should be published at least three months before the start of the budget year</w:t>
      </w:r>
      <w:r>
        <w:rPr>
          <w:rStyle w:val="EndnoteReference"/>
        </w:rPr>
        <w:endnoteReference w:id="26"/>
      </w:r>
      <w:r>
        <w:t xml:space="preserve">. </w:t>
      </w:r>
    </w:p>
    <w:p w14:paraId="3BA80929" w14:textId="22544865" w:rsidR="00C57B2E" w:rsidRDefault="00C57B2E" w:rsidP="007F17DE">
      <w:bookmarkStart w:id="84" w:name="_Toc167112900"/>
      <w:r>
        <w:t xml:space="preserve">Table </w:t>
      </w:r>
      <w:r w:rsidR="00DB4D8C">
        <w:t>11</w:t>
      </w:r>
      <w:r>
        <w:t xml:space="preserve"> – Transparency in the Executive Budget Proposal</w:t>
      </w:r>
      <w:r>
        <w:rPr>
          <w:rStyle w:val="EndnoteReference"/>
        </w:rPr>
        <w:endnoteReference w:id="27"/>
      </w:r>
      <w:bookmarkEnd w:id="84"/>
    </w:p>
    <w:tbl>
      <w:tblPr>
        <w:tblStyle w:val="TableGrid"/>
        <w:tblW w:w="0" w:type="auto"/>
        <w:tblLook w:val="04A0" w:firstRow="1" w:lastRow="0" w:firstColumn="1" w:lastColumn="0" w:noHBand="0" w:noVBand="1"/>
      </w:tblPr>
      <w:tblGrid>
        <w:gridCol w:w="3107"/>
        <w:gridCol w:w="3108"/>
        <w:gridCol w:w="3108"/>
      </w:tblGrid>
      <w:tr w:rsidR="003F63AC" w14:paraId="3AD8D404" w14:textId="77777777" w:rsidTr="00406C45">
        <w:trPr>
          <w:cantSplit/>
          <w:tblHeader/>
        </w:trPr>
        <w:tc>
          <w:tcPr>
            <w:tcW w:w="3107" w:type="dxa"/>
            <w:shd w:val="clear" w:color="auto" w:fill="8BADDC"/>
          </w:tcPr>
          <w:p w14:paraId="33CD80CD" w14:textId="77777777" w:rsidR="003F63AC" w:rsidRPr="001A3F5B" w:rsidRDefault="003F63AC" w:rsidP="007F17DE">
            <w:pPr>
              <w:rPr>
                <w:rStyle w:val="Strong"/>
              </w:rPr>
            </w:pPr>
            <w:r w:rsidRPr="001A3F5B">
              <w:rPr>
                <w:rStyle w:val="Strong"/>
              </w:rPr>
              <w:t>Importance</w:t>
            </w:r>
          </w:p>
        </w:tc>
        <w:tc>
          <w:tcPr>
            <w:tcW w:w="3108" w:type="dxa"/>
            <w:shd w:val="clear" w:color="auto" w:fill="8BADDC"/>
          </w:tcPr>
          <w:p w14:paraId="6DD2FDA1" w14:textId="77777777" w:rsidR="003F63AC" w:rsidRPr="001A3F5B" w:rsidRDefault="003F63AC" w:rsidP="007F17DE">
            <w:pPr>
              <w:rPr>
                <w:rStyle w:val="Strong"/>
              </w:rPr>
            </w:pPr>
            <w:r w:rsidRPr="001A3F5B">
              <w:rPr>
                <w:rStyle w:val="Strong"/>
              </w:rPr>
              <w:t>Key Contents</w:t>
            </w:r>
          </w:p>
        </w:tc>
        <w:tc>
          <w:tcPr>
            <w:tcW w:w="3108" w:type="dxa"/>
            <w:shd w:val="clear" w:color="auto" w:fill="8BADDC"/>
          </w:tcPr>
          <w:p w14:paraId="5258FC6D" w14:textId="77777777" w:rsidR="003F63AC" w:rsidRPr="001A3F5B" w:rsidRDefault="003F63AC" w:rsidP="007F17DE">
            <w:pPr>
              <w:rPr>
                <w:rStyle w:val="Strong"/>
              </w:rPr>
            </w:pPr>
            <w:r w:rsidRPr="001A3F5B">
              <w:rPr>
                <w:rStyle w:val="Strong"/>
              </w:rPr>
              <w:t>Publication Time Frame</w:t>
            </w:r>
          </w:p>
        </w:tc>
      </w:tr>
      <w:tr w:rsidR="00C57B2E" w14:paraId="01A2F153" w14:textId="77777777" w:rsidTr="0033343E">
        <w:trPr>
          <w:trHeight w:val="2287"/>
        </w:trPr>
        <w:tc>
          <w:tcPr>
            <w:tcW w:w="3107" w:type="dxa"/>
          </w:tcPr>
          <w:p w14:paraId="330A37B3"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Most important economic policy instrument and expression of executive’s priorities</w:t>
            </w:r>
          </w:p>
          <w:p w14:paraId="2A0796B6"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 xml:space="preserve">Determines tax burden on citizens </w:t>
            </w:r>
          </w:p>
          <w:p w14:paraId="002D7EF1"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 xml:space="preserve">Determines the distribution of resources among different segments of the population </w:t>
            </w:r>
          </w:p>
          <w:p w14:paraId="6C6B8737"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 xml:space="preserve">Determines costs/debt to be </w:t>
            </w:r>
            <w:r w:rsidRPr="00406C45">
              <w:rPr>
                <w:sz w:val="28"/>
                <w:szCs w:val="28"/>
              </w:rPr>
              <w:lastRenderedPageBreak/>
              <w:t xml:space="preserve">borne by future generations </w:t>
            </w:r>
          </w:p>
          <w:p w14:paraId="742F3480"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Key opportunity for civil society and legislators to influence policy</w:t>
            </w:r>
          </w:p>
        </w:tc>
        <w:tc>
          <w:tcPr>
            <w:tcW w:w="3108" w:type="dxa"/>
          </w:tcPr>
          <w:p w14:paraId="51FE13E7"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lastRenderedPageBreak/>
              <w:t xml:space="preserve">Minister of Finance’s budget speech and budget summary </w:t>
            </w:r>
          </w:p>
          <w:p w14:paraId="1B4E5312"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 xml:space="preserve">Budget bill on revenues and appropriations </w:t>
            </w:r>
          </w:p>
          <w:p w14:paraId="26D59E53"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 xml:space="preserve">Macroeconomic forecast </w:t>
            </w:r>
          </w:p>
          <w:p w14:paraId="6C27A640"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 xml:space="preserve">Assessment of sustainability of current policies </w:t>
            </w:r>
          </w:p>
          <w:p w14:paraId="4821C5C2"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 xml:space="preserve">Forecast and explanation of revenues </w:t>
            </w:r>
          </w:p>
          <w:p w14:paraId="52AC7B84"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lastRenderedPageBreak/>
              <w:t xml:space="preserve">Estimates and classification of expenditures </w:t>
            </w:r>
          </w:p>
          <w:p w14:paraId="3E0B6134"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 xml:space="preserve">Financing of deficit </w:t>
            </w:r>
          </w:p>
          <w:p w14:paraId="559CD118"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 xml:space="preserve">Composition of debt </w:t>
            </w:r>
          </w:p>
          <w:p w14:paraId="7C0E7150"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 xml:space="preserve">Other fiscal activities (such as social security) </w:t>
            </w:r>
          </w:p>
          <w:p w14:paraId="511E03F8"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t>Overview of financial position</w:t>
            </w:r>
          </w:p>
        </w:tc>
        <w:tc>
          <w:tcPr>
            <w:tcW w:w="3108" w:type="dxa"/>
          </w:tcPr>
          <w:p w14:paraId="078B2F51" w14:textId="77777777" w:rsidR="00C57B2E" w:rsidRPr="00406C45" w:rsidRDefault="00C57B2E" w:rsidP="007F17DE">
            <w:pPr>
              <w:pStyle w:val="TableNormal1"/>
              <w:numPr>
                <w:ilvl w:val="0"/>
                <w:numId w:val="22"/>
              </w:numPr>
              <w:spacing w:before="240" w:after="240" w:line="276" w:lineRule="auto"/>
              <w:ind w:left="454"/>
              <w:rPr>
                <w:sz w:val="28"/>
                <w:szCs w:val="28"/>
              </w:rPr>
            </w:pPr>
            <w:r w:rsidRPr="00406C45">
              <w:rPr>
                <w:sz w:val="28"/>
                <w:szCs w:val="28"/>
              </w:rPr>
              <w:lastRenderedPageBreak/>
              <w:t>At least three months before the start of the budget year</w:t>
            </w:r>
          </w:p>
        </w:tc>
      </w:tr>
    </w:tbl>
    <w:p w14:paraId="6310A7C9" w14:textId="77777777" w:rsidR="00C57B2E" w:rsidRDefault="00C57B2E" w:rsidP="007F17DE"/>
    <w:p w14:paraId="1101B16D" w14:textId="77777777" w:rsidR="00C57B2E" w:rsidRDefault="00C57B2E" w:rsidP="00993BD0">
      <w:pPr>
        <w:pStyle w:val="Heading4"/>
      </w:pPr>
      <w:bookmarkStart w:id="85" w:name="_Toc167112901"/>
      <w:r>
        <w:t>Scotland’s Executive Budget Proposal</w:t>
      </w:r>
      <w:bookmarkEnd w:id="85"/>
      <w:r>
        <w:t xml:space="preserve"> </w:t>
      </w:r>
    </w:p>
    <w:p w14:paraId="090054A7" w14:textId="77777777" w:rsidR="00C57B2E" w:rsidRDefault="00C57B2E" w:rsidP="007F17DE">
      <w:r>
        <w:t>In Scotland, the Executive’s Budget Proposal is known as the Draft Budget and it is routinely accompanied by a number of supporting documents, all of which were made publicly available on the same day as the Draft Budget itself. The supporting documents are as follows:</w:t>
      </w:r>
    </w:p>
    <w:p w14:paraId="6CBC4B07" w14:textId="764A07C0" w:rsidR="00C57B2E" w:rsidRPr="003F63AC" w:rsidRDefault="00C57B2E" w:rsidP="007F17DE">
      <w:pPr>
        <w:pStyle w:val="Bulletted"/>
        <w:rPr>
          <w:color w:val="000000"/>
        </w:rPr>
      </w:pPr>
      <w:r w:rsidRPr="003F63AC">
        <w:rPr>
          <w:shd w:val="clear" w:color="auto" w:fill="FFFFFF"/>
        </w:rPr>
        <w:t>Scottish Budget: 2021-22</w:t>
      </w:r>
      <w:r w:rsidR="00C901D3">
        <w:rPr>
          <w:rStyle w:val="EndnoteReference"/>
          <w:rFonts w:ascii="Aptos" w:hAnsi="Aptos"/>
          <w:sz w:val="27"/>
          <w:szCs w:val="27"/>
          <w:shd w:val="clear" w:color="auto" w:fill="FFFFFF"/>
        </w:rPr>
        <w:endnoteReference w:id="28"/>
      </w:r>
    </w:p>
    <w:p w14:paraId="0E974CDF" w14:textId="2FD1489C" w:rsidR="00C57B2E" w:rsidRPr="003F63AC" w:rsidRDefault="00C57B2E" w:rsidP="007F17DE">
      <w:pPr>
        <w:pStyle w:val="Bulletted"/>
        <w:rPr>
          <w:color w:val="000000"/>
        </w:rPr>
      </w:pPr>
      <w:r w:rsidRPr="003F63AC">
        <w:rPr>
          <w:shd w:val="clear" w:color="auto" w:fill="FFFFFF"/>
        </w:rPr>
        <w:t>Budget 2021-22 Tables</w:t>
      </w:r>
      <w:r w:rsidR="00C901D3">
        <w:rPr>
          <w:rStyle w:val="EndnoteReference"/>
          <w:rFonts w:ascii="Aptos" w:hAnsi="Aptos"/>
          <w:sz w:val="27"/>
          <w:szCs w:val="27"/>
          <w:shd w:val="clear" w:color="auto" w:fill="FFFFFF"/>
        </w:rPr>
        <w:endnoteReference w:id="29"/>
      </w:r>
    </w:p>
    <w:p w14:paraId="5D6CCE44" w14:textId="44C6BFF4" w:rsidR="00C57B2E" w:rsidRPr="003F63AC" w:rsidRDefault="00C57B2E" w:rsidP="007F17DE">
      <w:pPr>
        <w:pStyle w:val="Bulletted"/>
        <w:rPr>
          <w:color w:val="000000"/>
        </w:rPr>
      </w:pPr>
      <w:r w:rsidRPr="003F63AC">
        <w:rPr>
          <w:shd w:val="clear" w:color="auto" w:fill="FFFFFF"/>
        </w:rPr>
        <w:t>Scotland’s Fiscal Outlook:</w:t>
      </w:r>
      <w:r w:rsidRPr="003F63AC">
        <w:t xml:space="preserve"> The</w:t>
      </w:r>
      <w:r w:rsidR="00881916">
        <w:t xml:space="preserve"> Scottish Government</w:t>
      </w:r>
      <w:r w:rsidRPr="003F63AC">
        <w:t>’s Medium-Term Financial Strategy</w:t>
      </w:r>
      <w:r w:rsidR="00C901D3">
        <w:rPr>
          <w:rStyle w:val="EndnoteReference"/>
          <w:rFonts w:ascii="Aptos" w:hAnsi="Aptos"/>
          <w:sz w:val="27"/>
          <w:szCs w:val="27"/>
        </w:rPr>
        <w:endnoteReference w:id="30"/>
      </w:r>
    </w:p>
    <w:p w14:paraId="3231FCF1" w14:textId="764FBBF2" w:rsidR="00C57B2E" w:rsidRPr="003F63AC" w:rsidRDefault="00C57B2E" w:rsidP="007F17DE">
      <w:pPr>
        <w:pStyle w:val="Bulletted"/>
        <w:rPr>
          <w:color w:val="000000"/>
          <w:shd w:val="clear" w:color="auto" w:fill="FFFFFF"/>
        </w:rPr>
      </w:pPr>
      <w:r w:rsidRPr="003F63AC">
        <w:rPr>
          <w:shd w:val="clear" w:color="auto" w:fill="FFFFFF"/>
        </w:rPr>
        <w:t>Scotland’s Economic and Fiscal Forecasts January 2021</w:t>
      </w:r>
      <w:r w:rsidR="000F6FE8">
        <w:rPr>
          <w:rStyle w:val="EndnoteReference"/>
          <w:rFonts w:ascii="Aptos" w:hAnsi="Aptos"/>
          <w:sz w:val="27"/>
          <w:szCs w:val="27"/>
          <w:shd w:val="clear" w:color="auto" w:fill="FFFFFF"/>
        </w:rPr>
        <w:endnoteReference w:id="31"/>
      </w:r>
    </w:p>
    <w:p w14:paraId="42C17527" w14:textId="13DF702D" w:rsidR="00C57B2E" w:rsidRDefault="00C57B2E" w:rsidP="007F17DE">
      <w:pPr>
        <w:pStyle w:val="Bulletted"/>
      </w:pPr>
      <w:r w:rsidRPr="003F63AC">
        <w:rPr>
          <w:shd w:val="clear" w:color="auto" w:fill="FFFFFF"/>
        </w:rPr>
        <w:lastRenderedPageBreak/>
        <w:t>The Equality and Fairer Scotland Budget Statement 2021-22 and accompanying documents</w:t>
      </w:r>
      <w:r w:rsidR="000F6FE8" w:rsidRPr="003F63AC">
        <w:rPr>
          <w:shd w:val="clear" w:color="auto" w:fill="FFFFFF"/>
        </w:rPr>
        <w:t>.</w:t>
      </w:r>
      <w:r w:rsidR="000F6FE8">
        <w:rPr>
          <w:rStyle w:val="EndnoteReference"/>
          <w:rFonts w:ascii="Aptos" w:hAnsi="Aptos"/>
          <w:sz w:val="27"/>
          <w:szCs w:val="27"/>
          <w:shd w:val="clear" w:color="auto" w:fill="FFFFFF"/>
        </w:rPr>
        <w:endnoteReference w:id="32"/>
      </w:r>
    </w:p>
    <w:p w14:paraId="2E2E2B63" w14:textId="77777777" w:rsidR="003F63AC" w:rsidRDefault="003F63AC" w:rsidP="007F17DE">
      <w:bookmarkStart w:id="86" w:name="_Toc163647843"/>
    </w:p>
    <w:p w14:paraId="11AE7157" w14:textId="77777777" w:rsidR="00D80DDF" w:rsidRDefault="00D80DDF">
      <w:pPr>
        <w:spacing w:before="0" w:after="0" w:line="360" w:lineRule="auto"/>
        <w:rPr>
          <w:rFonts w:eastAsiaTheme="majorEastAsia" w:cstheme="majorBidi"/>
          <w:b/>
          <w:iCs/>
          <w:u w:val="single"/>
        </w:rPr>
      </w:pPr>
      <w:bookmarkStart w:id="87" w:name="_Toc167112902"/>
      <w:r>
        <w:br w:type="page"/>
      </w:r>
    </w:p>
    <w:p w14:paraId="12B83D93" w14:textId="1DDBBB55" w:rsidR="00C57B2E" w:rsidRDefault="00C57B2E" w:rsidP="00993BD0">
      <w:pPr>
        <w:pStyle w:val="Heading3"/>
      </w:pPr>
      <w:bookmarkStart w:id="88" w:name="_Toc167782868"/>
      <w:r>
        <w:lastRenderedPageBreak/>
        <w:t>Citizens’ Budget</w:t>
      </w:r>
      <w:bookmarkEnd w:id="86"/>
      <w:bookmarkEnd w:id="87"/>
      <w:bookmarkEnd w:id="88"/>
      <w:r>
        <w:t xml:space="preserve"> </w:t>
      </w:r>
    </w:p>
    <w:p w14:paraId="411EF32A" w14:textId="7675DC8B" w:rsidR="00C57B2E" w:rsidRDefault="00C57B2E" w:rsidP="00993BD0">
      <w:pPr>
        <w:pStyle w:val="Heading4"/>
      </w:pPr>
      <w:bookmarkStart w:id="89" w:name="_Toc167112903"/>
      <w:r>
        <w:t>What it is and why it’s important</w:t>
      </w:r>
      <w:bookmarkEnd w:id="89"/>
    </w:p>
    <w:p w14:paraId="6FE94881" w14:textId="733244D1" w:rsidR="0033343E" w:rsidRDefault="00C57B2E" w:rsidP="0033343E">
      <w:r>
        <w:t xml:space="preserve">For a budget to be of use to the public, it should not only be publicly </w:t>
      </w:r>
      <w:r w:rsidR="00881916">
        <w:t>available,</w:t>
      </w:r>
      <w:r>
        <w:t xml:space="preserve"> but it should also be accessible. The OBS has repeatedly shown that the majority of governments globally fall significantly short when it comes to publishing budgets that are accessible to the public. A Citizens’ Budget can help improve this situation. A Citizens’ Budget is meant to present the key information surrounding the budget in a clear and easily accessible way. To be of use to the public, the Citizens’ Budget should be published at the same time as its corresponding budget report, therefore, if the Citizens’ Budget relates to the Executive’s Budget Proposal, then it should be published at the same time as that document (i.e., at least three months before the start of the budget year).</w:t>
      </w:r>
      <w:bookmarkStart w:id="90" w:name="_Toc167112904"/>
    </w:p>
    <w:p w14:paraId="0F4DF73C" w14:textId="7EEEBF42" w:rsidR="00C57B2E" w:rsidRDefault="00C57B2E" w:rsidP="0033343E">
      <w:r>
        <w:t>Tab</w:t>
      </w:r>
      <w:r w:rsidR="00302A27">
        <w:t>l</w:t>
      </w:r>
      <w:r>
        <w:t xml:space="preserve">e </w:t>
      </w:r>
      <w:r w:rsidR="00DB4D8C">
        <w:t>12</w:t>
      </w:r>
      <w:r>
        <w:t xml:space="preserve"> – Transparency in the Citizens Budget</w:t>
      </w:r>
      <w:r>
        <w:rPr>
          <w:rStyle w:val="EndnoteReference"/>
        </w:rPr>
        <w:endnoteReference w:id="33"/>
      </w:r>
      <w:bookmarkEnd w:id="90"/>
    </w:p>
    <w:tbl>
      <w:tblPr>
        <w:tblStyle w:val="TableGrid"/>
        <w:tblW w:w="9776" w:type="dxa"/>
        <w:tblLook w:val="04A0" w:firstRow="1" w:lastRow="0" w:firstColumn="1" w:lastColumn="0" w:noHBand="0" w:noVBand="1"/>
      </w:tblPr>
      <w:tblGrid>
        <w:gridCol w:w="3107"/>
        <w:gridCol w:w="3108"/>
        <w:gridCol w:w="3561"/>
      </w:tblGrid>
      <w:tr w:rsidR="003F63AC" w:rsidRPr="00571D1C" w14:paraId="73ADE249" w14:textId="77777777" w:rsidTr="00571D1C">
        <w:trPr>
          <w:cantSplit/>
          <w:tblHeader/>
        </w:trPr>
        <w:tc>
          <w:tcPr>
            <w:tcW w:w="3107" w:type="dxa"/>
            <w:shd w:val="clear" w:color="auto" w:fill="8BADDC"/>
          </w:tcPr>
          <w:p w14:paraId="3C4341B1" w14:textId="77777777" w:rsidR="003F63AC" w:rsidRPr="00571D1C" w:rsidRDefault="003F63AC" w:rsidP="007F17DE">
            <w:pPr>
              <w:rPr>
                <w:rStyle w:val="Strong"/>
                <w:sz w:val="28"/>
                <w:szCs w:val="28"/>
              </w:rPr>
            </w:pPr>
            <w:r w:rsidRPr="00571D1C">
              <w:rPr>
                <w:rStyle w:val="Strong"/>
                <w:sz w:val="28"/>
                <w:szCs w:val="28"/>
              </w:rPr>
              <w:t>Importance</w:t>
            </w:r>
          </w:p>
        </w:tc>
        <w:tc>
          <w:tcPr>
            <w:tcW w:w="3108" w:type="dxa"/>
            <w:shd w:val="clear" w:color="auto" w:fill="8BADDC"/>
          </w:tcPr>
          <w:p w14:paraId="7B3BFD23" w14:textId="77777777" w:rsidR="003F63AC" w:rsidRPr="00571D1C" w:rsidRDefault="003F63AC" w:rsidP="007F17DE">
            <w:pPr>
              <w:rPr>
                <w:rStyle w:val="Strong"/>
                <w:sz w:val="28"/>
                <w:szCs w:val="28"/>
              </w:rPr>
            </w:pPr>
            <w:r w:rsidRPr="00571D1C">
              <w:rPr>
                <w:rStyle w:val="Strong"/>
                <w:sz w:val="28"/>
                <w:szCs w:val="28"/>
              </w:rPr>
              <w:t>Key Contents</w:t>
            </w:r>
          </w:p>
        </w:tc>
        <w:tc>
          <w:tcPr>
            <w:tcW w:w="3561" w:type="dxa"/>
            <w:shd w:val="clear" w:color="auto" w:fill="8BADDC"/>
          </w:tcPr>
          <w:p w14:paraId="476B1FC0" w14:textId="77777777" w:rsidR="003F63AC" w:rsidRPr="00571D1C" w:rsidRDefault="003F63AC" w:rsidP="007F17DE">
            <w:pPr>
              <w:rPr>
                <w:rStyle w:val="Strong"/>
                <w:sz w:val="28"/>
                <w:szCs w:val="28"/>
              </w:rPr>
            </w:pPr>
            <w:r w:rsidRPr="00571D1C">
              <w:rPr>
                <w:rStyle w:val="Strong"/>
                <w:sz w:val="28"/>
                <w:szCs w:val="28"/>
              </w:rPr>
              <w:t>Publication Time Frame</w:t>
            </w:r>
          </w:p>
        </w:tc>
      </w:tr>
      <w:tr w:rsidR="00C57B2E" w14:paraId="1571C7A0" w14:textId="77777777" w:rsidTr="0033343E">
        <w:trPr>
          <w:trHeight w:val="1238"/>
        </w:trPr>
        <w:tc>
          <w:tcPr>
            <w:tcW w:w="3107" w:type="dxa"/>
          </w:tcPr>
          <w:p w14:paraId="03C91A2E" w14:textId="77777777" w:rsidR="00C57B2E" w:rsidRPr="00571D1C" w:rsidRDefault="00C57B2E" w:rsidP="007F17DE">
            <w:pPr>
              <w:pStyle w:val="TableNormal1"/>
              <w:numPr>
                <w:ilvl w:val="0"/>
                <w:numId w:val="23"/>
              </w:numPr>
              <w:spacing w:before="240" w:after="240" w:line="276" w:lineRule="auto"/>
              <w:ind w:left="313"/>
              <w:rPr>
                <w:sz w:val="28"/>
                <w:szCs w:val="28"/>
              </w:rPr>
            </w:pPr>
            <w:r w:rsidRPr="00571D1C">
              <w:rPr>
                <w:sz w:val="28"/>
                <w:szCs w:val="28"/>
              </w:rPr>
              <w:t xml:space="preserve">Budget is technical and difficult to understand </w:t>
            </w:r>
          </w:p>
          <w:p w14:paraId="54FE0BAF" w14:textId="77777777" w:rsidR="00C57B2E" w:rsidRPr="00571D1C" w:rsidRDefault="00C57B2E" w:rsidP="007F17DE">
            <w:pPr>
              <w:pStyle w:val="TableNormal1"/>
              <w:numPr>
                <w:ilvl w:val="0"/>
                <w:numId w:val="23"/>
              </w:numPr>
              <w:spacing w:before="240" w:after="240" w:line="276" w:lineRule="auto"/>
              <w:ind w:left="313"/>
              <w:rPr>
                <w:sz w:val="28"/>
                <w:szCs w:val="28"/>
              </w:rPr>
            </w:pPr>
            <w:r w:rsidRPr="00571D1C">
              <w:rPr>
                <w:sz w:val="28"/>
                <w:szCs w:val="28"/>
              </w:rPr>
              <w:t xml:space="preserve">Makes the budget “accessible” and not just available </w:t>
            </w:r>
          </w:p>
          <w:p w14:paraId="31132286" w14:textId="77777777" w:rsidR="00C57B2E" w:rsidRPr="00571D1C" w:rsidRDefault="00C57B2E" w:rsidP="007F17DE">
            <w:pPr>
              <w:pStyle w:val="TableNormal1"/>
              <w:numPr>
                <w:ilvl w:val="0"/>
                <w:numId w:val="23"/>
              </w:numPr>
              <w:spacing w:before="240" w:after="240" w:line="276" w:lineRule="auto"/>
              <w:ind w:left="313"/>
              <w:rPr>
                <w:sz w:val="28"/>
                <w:szCs w:val="28"/>
              </w:rPr>
            </w:pPr>
            <w:r w:rsidRPr="00571D1C">
              <w:rPr>
                <w:sz w:val="28"/>
                <w:szCs w:val="28"/>
              </w:rPr>
              <w:t xml:space="preserve">Facilitates wide and informed debate on fiscal priorities </w:t>
            </w:r>
          </w:p>
          <w:p w14:paraId="46204260" w14:textId="77777777" w:rsidR="00C57B2E" w:rsidRDefault="00C57B2E" w:rsidP="007F17DE">
            <w:pPr>
              <w:pStyle w:val="TableNormal1"/>
              <w:numPr>
                <w:ilvl w:val="0"/>
                <w:numId w:val="23"/>
              </w:numPr>
              <w:spacing w:before="240" w:after="240" w:line="276" w:lineRule="auto"/>
              <w:ind w:left="313"/>
            </w:pPr>
            <w:r w:rsidRPr="00571D1C">
              <w:rPr>
                <w:sz w:val="28"/>
                <w:szCs w:val="28"/>
              </w:rPr>
              <w:t xml:space="preserve">Demonstrates the government’s </w:t>
            </w:r>
            <w:r w:rsidRPr="00571D1C">
              <w:rPr>
                <w:sz w:val="28"/>
                <w:szCs w:val="28"/>
              </w:rPr>
              <w:lastRenderedPageBreak/>
              <w:t>commitment to the public and fosters trust in government</w:t>
            </w:r>
          </w:p>
        </w:tc>
        <w:tc>
          <w:tcPr>
            <w:tcW w:w="3108" w:type="dxa"/>
          </w:tcPr>
          <w:p w14:paraId="5E9F3297" w14:textId="77777777" w:rsidR="00C57B2E" w:rsidRPr="00571D1C" w:rsidRDefault="00C57B2E" w:rsidP="007F17DE">
            <w:pPr>
              <w:pStyle w:val="TableNormal1"/>
              <w:numPr>
                <w:ilvl w:val="0"/>
                <w:numId w:val="23"/>
              </w:numPr>
              <w:spacing w:before="240" w:after="240" w:line="276" w:lineRule="auto"/>
              <w:ind w:left="313"/>
              <w:rPr>
                <w:sz w:val="28"/>
                <w:szCs w:val="28"/>
              </w:rPr>
            </w:pPr>
            <w:r w:rsidRPr="00571D1C">
              <w:rPr>
                <w:sz w:val="28"/>
                <w:szCs w:val="28"/>
              </w:rPr>
              <w:lastRenderedPageBreak/>
              <w:t xml:space="preserve">Objectives of the document, description of budget process, and institutional coverage of budget </w:t>
            </w:r>
          </w:p>
          <w:p w14:paraId="1C64C345" w14:textId="77777777" w:rsidR="00C57B2E" w:rsidRPr="00571D1C" w:rsidRDefault="00C57B2E" w:rsidP="007F17DE">
            <w:pPr>
              <w:pStyle w:val="TableNormal1"/>
              <w:numPr>
                <w:ilvl w:val="0"/>
                <w:numId w:val="23"/>
              </w:numPr>
              <w:spacing w:before="240" w:after="240" w:line="276" w:lineRule="auto"/>
              <w:ind w:left="313"/>
              <w:rPr>
                <w:sz w:val="28"/>
                <w:szCs w:val="28"/>
              </w:rPr>
            </w:pPr>
            <w:r w:rsidRPr="00571D1C">
              <w:rPr>
                <w:sz w:val="28"/>
                <w:szCs w:val="28"/>
              </w:rPr>
              <w:t xml:space="preserve">Economic outlook and government policy objectives </w:t>
            </w:r>
          </w:p>
          <w:p w14:paraId="60A3DD92" w14:textId="77777777" w:rsidR="00C57B2E" w:rsidRPr="00571D1C" w:rsidRDefault="00C57B2E" w:rsidP="007F17DE">
            <w:pPr>
              <w:pStyle w:val="TableNormal1"/>
              <w:numPr>
                <w:ilvl w:val="0"/>
                <w:numId w:val="23"/>
              </w:numPr>
              <w:spacing w:before="240" w:after="240" w:line="276" w:lineRule="auto"/>
              <w:ind w:left="313"/>
              <w:rPr>
                <w:sz w:val="28"/>
                <w:szCs w:val="28"/>
              </w:rPr>
            </w:pPr>
            <w:r w:rsidRPr="00571D1C">
              <w:rPr>
                <w:sz w:val="28"/>
                <w:szCs w:val="28"/>
              </w:rPr>
              <w:lastRenderedPageBreak/>
              <w:t xml:space="preserve">Government’s accounts and budget prospects </w:t>
            </w:r>
          </w:p>
          <w:p w14:paraId="09780A07" w14:textId="77777777" w:rsidR="00C57B2E" w:rsidRPr="00571D1C" w:rsidRDefault="00C57B2E" w:rsidP="007F17DE">
            <w:pPr>
              <w:pStyle w:val="TableNormal1"/>
              <w:numPr>
                <w:ilvl w:val="0"/>
                <w:numId w:val="23"/>
              </w:numPr>
              <w:spacing w:before="240" w:after="240" w:line="276" w:lineRule="auto"/>
              <w:ind w:left="313"/>
              <w:rPr>
                <w:sz w:val="28"/>
                <w:szCs w:val="28"/>
              </w:rPr>
            </w:pPr>
            <w:r w:rsidRPr="00571D1C">
              <w:rPr>
                <w:sz w:val="28"/>
                <w:szCs w:val="28"/>
              </w:rPr>
              <w:t xml:space="preserve">New measures </w:t>
            </w:r>
          </w:p>
          <w:p w14:paraId="5D2555CE" w14:textId="77777777" w:rsidR="00C57B2E" w:rsidRDefault="00C57B2E" w:rsidP="007F17DE">
            <w:pPr>
              <w:pStyle w:val="TableNormal1"/>
              <w:numPr>
                <w:ilvl w:val="0"/>
                <w:numId w:val="23"/>
              </w:numPr>
              <w:spacing w:before="240" w:after="240" w:line="276" w:lineRule="auto"/>
              <w:ind w:left="313"/>
            </w:pPr>
            <w:r w:rsidRPr="00571D1C">
              <w:rPr>
                <w:sz w:val="28"/>
                <w:szCs w:val="28"/>
              </w:rPr>
              <w:t>Delivery of services</w:t>
            </w:r>
          </w:p>
        </w:tc>
        <w:tc>
          <w:tcPr>
            <w:tcW w:w="3561" w:type="dxa"/>
          </w:tcPr>
          <w:p w14:paraId="7C59A091" w14:textId="77777777" w:rsidR="00C57B2E" w:rsidRPr="00571D1C" w:rsidRDefault="00C57B2E" w:rsidP="007F17DE">
            <w:pPr>
              <w:pStyle w:val="TableNormal1"/>
              <w:numPr>
                <w:ilvl w:val="0"/>
                <w:numId w:val="23"/>
              </w:numPr>
              <w:spacing w:before="240" w:after="240" w:line="276" w:lineRule="auto"/>
              <w:ind w:left="313"/>
              <w:rPr>
                <w:sz w:val="28"/>
                <w:szCs w:val="28"/>
              </w:rPr>
            </w:pPr>
            <w:r w:rsidRPr="00571D1C">
              <w:rPr>
                <w:sz w:val="28"/>
                <w:szCs w:val="28"/>
              </w:rPr>
              <w:lastRenderedPageBreak/>
              <w:t>At the same time as its corresponding document.</w:t>
            </w:r>
          </w:p>
        </w:tc>
      </w:tr>
    </w:tbl>
    <w:p w14:paraId="459AF3C6" w14:textId="77777777" w:rsidR="00993BD0" w:rsidRDefault="00993BD0" w:rsidP="00993BD0">
      <w:bookmarkStart w:id="91" w:name="_Toc167112905"/>
    </w:p>
    <w:p w14:paraId="34C999AB" w14:textId="7E70B9F5" w:rsidR="00C57B2E" w:rsidRDefault="00C57B2E" w:rsidP="00993BD0">
      <w:pPr>
        <w:pStyle w:val="Heading4"/>
      </w:pPr>
      <w:r>
        <w:t>Scotland’s Citizens’ Budget</w:t>
      </w:r>
      <w:bookmarkEnd w:id="91"/>
    </w:p>
    <w:p w14:paraId="3518F1F7" w14:textId="737AB4D3" w:rsidR="00C57B2E" w:rsidRDefault="00C57B2E" w:rsidP="007F17DE">
      <w:r>
        <w:t>In Scotland the Citizens’ Budget is entitled “</w:t>
      </w:r>
      <w:r w:rsidRPr="000F6FE8">
        <w:t>Scottish Budget 2021 to 2022 - Your Scotland, Your Finances: guide</w:t>
      </w:r>
      <w:r>
        <w:t>”</w:t>
      </w:r>
      <w:r>
        <w:rPr>
          <w:rStyle w:val="EndnoteReference"/>
        </w:rPr>
        <w:endnoteReference w:id="34"/>
      </w:r>
      <w:r>
        <w:t xml:space="preserve">. </w:t>
      </w:r>
      <w:r w:rsidRPr="00303AD4">
        <w:t>This set out key information about how the system of public finances in Scotland st</w:t>
      </w:r>
      <w:r>
        <w:t>ood</w:t>
      </w:r>
      <w:r w:rsidRPr="00303AD4">
        <w:t xml:space="preserve"> in 2021 to 2022, and how this system is changing.</w:t>
      </w:r>
    </w:p>
    <w:p w14:paraId="420BE015" w14:textId="77777777" w:rsidR="00D80DDF" w:rsidRDefault="00D80DDF">
      <w:pPr>
        <w:spacing w:before="0" w:after="0" w:line="360" w:lineRule="auto"/>
        <w:rPr>
          <w:rFonts w:eastAsiaTheme="majorEastAsia" w:cstheme="majorBidi"/>
          <w:b/>
          <w:iCs/>
          <w:u w:val="single"/>
        </w:rPr>
      </w:pPr>
      <w:bookmarkStart w:id="92" w:name="_Toc163647844"/>
      <w:bookmarkStart w:id="93" w:name="_Toc167112906"/>
      <w:r>
        <w:br w:type="page"/>
      </w:r>
    </w:p>
    <w:p w14:paraId="19075717" w14:textId="69B33751" w:rsidR="00C57B2E" w:rsidRDefault="00C57B2E" w:rsidP="00993BD0">
      <w:pPr>
        <w:pStyle w:val="Heading3"/>
      </w:pPr>
      <w:bookmarkStart w:id="94" w:name="_Toc167782869"/>
      <w:r>
        <w:lastRenderedPageBreak/>
        <w:t>Enacted Budget</w:t>
      </w:r>
      <w:bookmarkEnd w:id="92"/>
      <w:bookmarkEnd w:id="93"/>
      <w:bookmarkEnd w:id="94"/>
    </w:p>
    <w:p w14:paraId="49A4D656" w14:textId="7787A513" w:rsidR="00C57B2E" w:rsidRDefault="00C57B2E" w:rsidP="00993BD0">
      <w:pPr>
        <w:pStyle w:val="Heading4"/>
      </w:pPr>
      <w:bookmarkStart w:id="95" w:name="_Toc167112907"/>
      <w:r>
        <w:t>What it is and why it’s important</w:t>
      </w:r>
      <w:bookmarkEnd w:id="95"/>
    </w:p>
    <w:p w14:paraId="53BF77EF" w14:textId="77777777" w:rsidR="00C57B2E" w:rsidRDefault="00C57B2E" w:rsidP="007F17DE">
      <w:r>
        <w:t>The Enacted Budget provides the baseline for any analysis on how the budget is executed throughout the year. It is the budget which is approved by the legislator (in this case, the Scottish Parliament) after the budget proposal has been debated. The Enacted Budget should be published as soon as it is approved by the legislature and no later than three months after approval.</w:t>
      </w:r>
    </w:p>
    <w:p w14:paraId="73C0A3E0" w14:textId="0FBA8D6C" w:rsidR="0033343E" w:rsidRDefault="00C57B2E" w:rsidP="00D80DDF">
      <w:r>
        <w:t xml:space="preserve">The Enacted Budget will grow in importance if there are significant differences between the budget proposal and the Enacted Budget, (which is one reason that the Executive’s Budget Proposal is not a suitable proxy for the Enacted Budget). The Enacted Budget allows for comparison between what was proposed by the </w:t>
      </w:r>
      <w:r w:rsidR="00EA7BC7">
        <w:t>E</w:t>
      </w:r>
      <w:r>
        <w:t>xecutive and what the legislature actually enacted into law.</w:t>
      </w:r>
      <w:bookmarkStart w:id="96" w:name="_Toc167112908"/>
    </w:p>
    <w:p w14:paraId="1B2851F5" w14:textId="46239C7D" w:rsidR="00C57B2E" w:rsidRDefault="00C57B2E" w:rsidP="007F17DE">
      <w:r>
        <w:t xml:space="preserve">Table </w:t>
      </w:r>
      <w:r w:rsidR="00DB4D8C">
        <w:t>13</w:t>
      </w:r>
      <w:r>
        <w:t xml:space="preserve"> – Transparency in the Enacted Budget</w:t>
      </w:r>
      <w:r>
        <w:rPr>
          <w:rStyle w:val="EndnoteReference"/>
        </w:rPr>
        <w:endnoteReference w:id="35"/>
      </w:r>
      <w:bookmarkEnd w:id="96"/>
    </w:p>
    <w:tbl>
      <w:tblPr>
        <w:tblStyle w:val="TableGrid"/>
        <w:tblW w:w="0" w:type="auto"/>
        <w:tblLook w:val="04A0" w:firstRow="1" w:lastRow="0" w:firstColumn="1" w:lastColumn="0" w:noHBand="0" w:noVBand="1"/>
      </w:tblPr>
      <w:tblGrid>
        <w:gridCol w:w="3107"/>
        <w:gridCol w:w="3108"/>
        <w:gridCol w:w="3108"/>
      </w:tblGrid>
      <w:tr w:rsidR="00C57B2E" w:rsidRPr="005062D9" w14:paraId="6D5AA6C0" w14:textId="77777777" w:rsidTr="00406C45">
        <w:trPr>
          <w:cantSplit/>
          <w:tblHeader/>
        </w:trPr>
        <w:tc>
          <w:tcPr>
            <w:tcW w:w="3107" w:type="dxa"/>
            <w:shd w:val="clear" w:color="auto" w:fill="8BADDC"/>
          </w:tcPr>
          <w:p w14:paraId="74DCE291" w14:textId="77777777" w:rsidR="00C57B2E" w:rsidRPr="005062D9" w:rsidRDefault="00C57B2E" w:rsidP="007F17DE">
            <w:pPr>
              <w:rPr>
                <w:rStyle w:val="Strong"/>
              </w:rPr>
            </w:pPr>
            <w:r w:rsidRPr="005062D9">
              <w:rPr>
                <w:rStyle w:val="Strong"/>
              </w:rPr>
              <w:t>Importance</w:t>
            </w:r>
          </w:p>
        </w:tc>
        <w:tc>
          <w:tcPr>
            <w:tcW w:w="3108" w:type="dxa"/>
            <w:shd w:val="clear" w:color="auto" w:fill="8BADDC"/>
          </w:tcPr>
          <w:p w14:paraId="58ECC837" w14:textId="77777777" w:rsidR="00C57B2E" w:rsidRPr="005062D9" w:rsidRDefault="00C57B2E" w:rsidP="007F17DE">
            <w:pPr>
              <w:rPr>
                <w:rStyle w:val="Strong"/>
              </w:rPr>
            </w:pPr>
            <w:r w:rsidRPr="005062D9">
              <w:rPr>
                <w:rStyle w:val="Strong"/>
              </w:rPr>
              <w:t>Key Contents</w:t>
            </w:r>
          </w:p>
        </w:tc>
        <w:tc>
          <w:tcPr>
            <w:tcW w:w="3108" w:type="dxa"/>
            <w:shd w:val="clear" w:color="auto" w:fill="8BADDC"/>
          </w:tcPr>
          <w:p w14:paraId="0EC9C36B" w14:textId="77777777" w:rsidR="00C57B2E" w:rsidRPr="005062D9" w:rsidRDefault="00C57B2E" w:rsidP="007F17DE">
            <w:pPr>
              <w:rPr>
                <w:rStyle w:val="Strong"/>
              </w:rPr>
            </w:pPr>
            <w:r w:rsidRPr="005062D9">
              <w:rPr>
                <w:rStyle w:val="Strong"/>
              </w:rPr>
              <w:t>Publication Time Frame</w:t>
            </w:r>
          </w:p>
        </w:tc>
      </w:tr>
      <w:tr w:rsidR="00C57B2E" w14:paraId="64DF8BF8" w14:textId="77777777" w:rsidTr="00763401">
        <w:tc>
          <w:tcPr>
            <w:tcW w:w="3107" w:type="dxa"/>
          </w:tcPr>
          <w:p w14:paraId="49BC0D82" w14:textId="77777777" w:rsidR="00C57B2E" w:rsidRPr="00406C45" w:rsidRDefault="00C57B2E" w:rsidP="007F17DE">
            <w:pPr>
              <w:pStyle w:val="TableNormal1"/>
              <w:numPr>
                <w:ilvl w:val="0"/>
                <w:numId w:val="24"/>
              </w:numPr>
              <w:spacing w:before="240" w:after="240" w:line="276" w:lineRule="auto"/>
              <w:ind w:left="313"/>
              <w:rPr>
                <w:sz w:val="28"/>
                <w:szCs w:val="28"/>
              </w:rPr>
            </w:pPr>
            <w:r w:rsidRPr="00406C45">
              <w:rPr>
                <w:sz w:val="28"/>
                <w:szCs w:val="28"/>
              </w:rPr>
              <w:t xml:space="preserve">Law of the land </w:t>
            </w:r>
          </w:p>
          <w:p w14:paraId="4E5F1482" w14:textId="77777777" w:rsidR="00C57B2E" w:rsidRPr="00406C45" w:rsidRDefault="00C57B2E" w:rsidP="007F17DE">
            <w:pPr>
              <w:pStyle w:val="TableNormal1"/>
              <w:numPr>
                <w:ilvl w:val="0"/>
                <w:numId w:val="24"/>
              </w:numPr>
              <w:spacing w:before="240" w:after="240" w:line="276" w:lineRule="auto"/>
              <w:ind w:left="313"/>
              <w:rPr>
                <w:sz w:val="28"/>
                <w:szCs w:val="28"/>
              </w:rPr>
            </w:pPr>
            <w:r w:rsidRPr="00406C45">
              <w:rPr>
                <w:sz w:val="28"/>
                <w:szCs w:val="28"/>
              </w:rPr>
              <w:t xml:space="preserve">Provides baseline information against which actual budget results can be compared </w:t>
            </w:r>
          </w:p>
          <w:p w14:paraId="30A2A8BA" w14:textId="77777777" w:rsidR="00C57B2E" w:rsidRPr="00406C45" w:rsidRDefault="00C57B2E" w:rsidP="007F17DE">
            <w:pPr>
              <w:pStyle w:val="TableNormal1"/>
              <w:numPr>
                <w:ilvl w:val="0"/>
                <w:numId w:val="24"/>
              </w:numPr>
              <w:spacing w:before="240" w:after="240" w:line="276" w:lineRule="auto"/>
              <w:ind w:left="313"/>
              <w:rPr>
                <w:sz w:val="28"/>
                <w:szCs w:val="28"/>
              </w:rPr>
            </w:pPr>
            <w:r w:rsidRPr="00406C45">
              <w:rPr>
                <w:sz w:val="28"/>
                <w:szCs w:val="28"/>
              </w:rPr>
              <w:t xml:space="preserve">Enables an assessment of changes made by </w:t>
            </w:r>
            <w:r w:rsidRPr="00406C45">
              <w:rPr>
                <w:sz w:val="28"/>
                <w:szCs w:val="28"/>
              </w:rPr>
              <w:lastRenderedPageBreak/>
              <w:t>the legislature to the budget proposal</w:t>
            </w:r>
          </w:p>
        </w:tc>
        <w:tc>
          <w:tcPr>
            <w:tcW w:w="3108" w:type="dxa"/>
          </w:tcPr>
          <w:p w14:paraId="6B2FB7D1" w14:textId="77777777" w:rsidR="00C57B2E" w:rsidRPr="00406C45" w:rsidRDefault="00C57B2E" w:rsidP="007F17DE">
            <w:pPr>
              <w:pStyle w:val="TableNormal1"/>
              <w:numPr>
                <w:ilvl w:val="0"/>
                <w:numId w:val="24"/>
              </w:numPr>
              <w:spacing w:before="240" w:after="240" w:line="276" w:lineRule="auto"/>
              <w:ind w:left="313"/>
              <w:rPr>
                <w:sz w:val="28"/>
                <w:szCs w:val="28"/>
              </w:rPr>
            </w:pPr>
            <w:r w:rsidRPr="00406C45">
              <w:rPr>
                <w:sz w:val="28"/>
                <w:szCs w:val="28"/>
              </w:rPr>
              <w:lastRenderedPageBreak/>
              <w:t xml:space="preserve">Listing and brief commentary on major expenditures and revenues </w:t>
            </w:r>
          </w:p>
          <w:p w14:paraId="20ABBB5F" w14:textId="77777777" w:rsidR="00C57B2E" w:rsidRPr="00406C45" w:rsidRDefault="00C57B2E" w:rsidP="007F17DE">
            <w:pPr>
              <w:pStyle w:val="TableNormal1"/>
              <w:numPr>
                <w:ilvl w:val="0"/>
                <w:numId w:val="24"/>
              </w:numPr>
              <w:spacing w:before="240" w:after="240" w:line="276" w:lineRule="auto"/>
              <w:ind w:left="313"/>
              <w:rPr>
                <w:sz w:val="28"/>
                <w:szCs w:val="28"/>
              </w:rPr>
            </w:pPr>
            <w:r w:rsidRPr="00406C45">
              <w:rPr>
                <w:sz w:val="28"/>
                <w:szCs w:val="28"/>
              </w:rPr>
              <w:t xml:space="preserve">Nonfinancial performance data </w:t>
            </w:r>
          </w:p>
          <w:p w14:paraId="773FFB75" w14:textId="77777777" w:rsidR="00C57B2E" w:rsidRPr="00406C45" w:rsidRDefault="00C57B2E" w:rsidP="007F17DE">
            <w:pPr>
              <w:pStyle w:val="TableNormal1"/>
              <w:numPr>
                <w:ilvl w:val="0"/>
                <w:numId w:val="24"/>
              </w:numPr>
              <w:spacing w:before="240" w:after="240" w:line="276" w:lineRule="auto"/>
              <w:ind w:left="313"/>
              <w:rPr>
                <w:sz w:val="28"/>
                <w:szCs w:val="28"/>
              </w:rPr>
            </w:pPr>
            <w:r w:rsidRPr="00406C45">
              <w:rPr>
                <w:sz w:val="28"/>
                <w:szCs w:val="28"/>
              </w:rPr>
              <w:t xml:space="preserve">Reconciliation of deviations between the budget proposal </w:t>
            </w:r>
            <w:r w:rsidRPr="00406C45">
              <w:rPr>
                <w:sz w:val="28"/>
                <w:szCs w:val="28"/>
              </w:rPr>
              <w:lastRenderedPageBreak/>
              <w:t xml:space="preserve">and the Enacted Budget </w:t>
            </w:r>
          </w:p>
          <w:p w14:paraId="6C9EB070" w14:textId="77777777" w:rsidR="00C57B2E" w:rsidRPr="00406C45" w:rsidRDefault="00C57B2E" w:rsidP="007F17DE">
            <w:pPr>
              <w:pStyle w:val="TableNormal1"/>
              <w:numPr>
                <w:ilvl w:val="0"/>
                <w:numId w:val="24"/>
              </w:numPr>
              <w:spacing w:before="240" w:after="240" w:line="276" w:lineRule="auto"/>
              <w:ind w:left="313"/>
              <w:rPr>
                <w:sz w:val="28"/>
                <w:szCs w:val="28"/>
              </w:rPr>
            </w:pPr>
            <w:r w:rsidRPr="00406C45">
              <w:rPr>
                <w:sz w:val="28"/>
                <w:szCs w:val="28"/>
              </w:rPr>
              <w:t xml:space="preserve">Overall debt situation </w:t>
            </w:r>
          </w:p>
          <w:p w14:paraId="1EE3991F" w14:textId="77777777" w:rsidR="00C57B2E" w:rsidRPr="00406C45" w:rsidRDefault="00C57B2E" w:rsidP="007F17DE">
            <w:pPr>
              <w:pStyle w:val="TableNormal1"/>
              <w:numPr>
                <w:ilvl w:val="0"/>
                <w:numId w:val="24"/>
              </w:numPr>
              <w:spacing w:before="240" w:after="240" w:line="276" w:lineRule="auto"/>
              <w:ind w:left="313"/>
              <w:rPr>
                <w:sz w:val="28"/>
                <w:szCs w:val="28"/>
              </w:rPr>
            </w:pPr>
            <w:r w:rsidRPr="00406C45">
              <w:rPr>
                <w:sz w:val="28"/>
                <w:szCs w:val="28"/>
              </w:rPr>
              <w:t xml:space="preserve">Revised economic forecast (if there is a major delay between the budget proposal and the Enacted Budget) </w:t>
            </w:r>
          </w:p>
          <w:p w14:paraId="1C760B69" w14:textId="77777777" w:rsidR="00C57B2E" w:rsidRPr="00406C45" w:rsidRDefault="00C57B2E" w:rsidP="007F17DE">
            <w:pPr>
              <w:pStyle w:val="TableNormal1"/>
              <w:numPr>
                <w:ilvl w:val="0"/>
                <w:numId w:val="24"/>
              </w:numPr>
              <w:spacing w:before="240" w:after="240" w:line="276" w:lineRule="auto"/>
              <w:ind w:left="313"/>
              <w:rPr>
                <w:sz w:val="28"/>
                <w:szCs w:val="28"/>
              </w:rPr>
            </w:pPr>
            <w:r w:rsidRPr="00406C45">
              <w:rPr>
                <w:sz w:val="28"/>
                <w:szCs w:val="28"/>
              </w:rPr>
              <w:t>Impact on government’s financial assets and liabilities, contingent liabilities, etc.</w:t>
            </w:r>
          </w:p>
        </w:tc>
        <w:tc>
          <w:tcPr>
            <w:tcW w:w="3108" w:type="dxa"/>
          </w:tcPr>
          <w:p w14:paraId="77A08A1E" w14:textId="77777777" w:rsidR="00C57B2E" w:rsidRPr="00406C45" w:rsidRDefault="00C57B2E" w:rsidP="007F17DE">
            <w:pPr>
              <w:pStyle w:val="TableNormal1"/>
              <w:numPr>
                <w:ilvl w:val="0"/>
                <w:numId w:val="24"/>
              </w:numPr>
              <w:spacing w:before="240" w:after="240" w:line="276" w:lineRule="auto"/>
              <w:ind w:left="313"/>
              <w:rPr>
                <w:sz w:val="28"/>
                <w:szCs w:val="28"/>
              </w:rPr>
            </w:pPr>
            <w:r w:rsidRPr="00406C45">
              <w:rPr>
                <w:sz w:val="28"/>
                <w:szCs w:val="28"/>
              </w:rPr>
              <w:lastRenderedPageBreak/>
              <w:t>As soon as the budget is approved by the legislature and no later than three months after it has been enacted</w:t>
            </w:r>
          </w:p>
        </w:tc>
      </w:tr>
    </w:tbl>
    <w:p w14:paraId="731E28E7" w14:textId="77777777" w:rsidR="00993BD0" w:rsidRDefault="00993BD0" w:rsidP="00993BD0">
      <w:bookmarkStart w:id="97" w:name="_Toc167112909"/>
    </w:p>
    <w:p w14:paraId="5E3276FD" w14:textId="1BF07751" w:rsidR="00C57B2E" w:rsidRDefault="00C57B2E" w:rsidP="00993BD0">
      <w:pPr>
        <w:pStyle w:val="Heading4"/>
      </w:pPr>
      <w:r>
        <w:t>Scotland’s Enacted Budget</w:t>
      </w:r>
      <w:bookmarkEnd w:id="97"/>
      <w:r>
        <w:t xml:space="preserve"> </w:t>
      </w:r>
    </w:p>
    <w:p w14:paraId="510BC1D1" w14:textId="77777777" w:rsidR="00C57B2E" w:rsidRDefault="00C57B2E" w:rsidP="007F17DE">
      <w:r>
        <w:t>In Scotland for the budget year 2021-2022, two key documents make up the enacted budget the Budget (Scotland) Bill and the Budget (Scotland) Bill Supporting Document.</w:t>
      </w:r>
      <w:r>
        <w:rPr>
          <w:rStyle w:val="EndnoteReference"/>
        </w:rPr>
        <w:endnoteReference w:id="36"/>
      </w:r>
    </w:p>
    <w:p w14:paraId="085BBD69" w14:textId="77777777" w:rsidR="00D80DDF" w:rsidRDefault="00D80DDF">
      <w:pPr>
        <w:spacing w:before="0" w:after="0" w:line="360" w:lineRule="auto"/>
        <w:rPr>
          <w:rFonts w:eastAsiaTheme="majorEastAsia" w:cstheme="majorBidi"/>
          <w:b/>
          <w:iCs/>
          <w:u w:val="single"/>
        </w:rPr>
      </w:pPr>
      <w:bookmarkStart w:id="98" w:name="_Toc163647845"/>
      <w:bookmarkStart w:id="99" w:name="_Toc167112910"/>
      <w:r>
        <w:br w:type="page"/>
      </w:r>
    </w:p>
    <w:p w14:paraId="4B175D12" w14:textId="02D033B1" w:rsidR="00C57B2E" w:rsidRDefault="00C57B2E" w:rsidP="00993BD0">
      <w:pPr>
        <w:pStyle w:val="Heading3"/>
      </w:pPr>
      <w:bookmarkStart w:id="100" w:name="_Toc167782870"/>
      <w:r>
        <w:lastRenderedPageBreak/>
        <w:t>In-Year Report</w:t>
      </w:r>
      <w:bookmarkEnd w:id="98"/>
      <w:bookmarkEnd w:id="99"/>
      <w:bookmarkEnd w:id="100"/>
      <w:r>
        <w:t xml:space="preserve"> </w:t>
      </w:r>
    </w:p>
    <w:p w14:paraId="5A5A55D4" w14:textId="77777777" w:rsidR="00C57B2E" w:rsidRDefault="00C57B2E" w:rsidP="00993BD0">
      <w:pPr>
        <w:pStyle w:val="Heading4"/>
      </w:pPr>
      <w:bookmarkStart w:id="101" w:name="_Toc167112911"/>
      <w:r>
        <w:t>What it is and why it’s important</w:t>
      </w:r>
      <w:bookmarkEnd w:id="101"/>
      <w:r>
        <w:t xml:space="preserve"> </w:t>
      </w:r>
    </w:p>
    <w:p w14:paraId="569B7B22" w14:textId="77777777" w:rsidR="00C57B2E" w:rsidRDefault="00C57B2E" w:rsidP="007F17DE">
      <w:r>
        <w:t xml:space="preserve">The In-Year Report should show a snap-shot of a country’s progress in implementing their budget. These reports should be periodic (often monthly) and relatively brief, providing a listing of the major aspects of the budget which will help to identify any specific trends in revenue and expenditure to date (with an explanation if there are any significant deviations from expectations). There is no expectation that the In-Year Report/s provide an assessment of progress, as this is a key feature of the Mid-Year Review. </w:t>
      </w:r>
    </w:p>
    <w:p w14:paraId="5929BFA8" w14:textId="784A4E08" w:rsidR="003F63AC" w:rsidRDefault="00C57B2E" w:rsidP="007F17DE">
      <w:pPr>
        <w:rPr>
          <w:b/>
          <w:kern w:val="24"/>
        </w:rPr>
      </w:pPr>
      <w:r>
        <w:t>These reports are key for budget transparency as they necessitate the government to develop the required staff expertise and have the relevant systems in place to track aggregate budget spending and revenue trends. This is critical in helping to identify if what has been allocated is being spent as allocated and if not what that revenue has been used for instead. Investment in staff and systems for the In-Year reporting will also benefit the quality of other budget reports.</w:t>
      </w:r>
    </w:p>
    <w:p w14:paraId="2AC4B3D1" w14:textId="77777777" w:rsidR="00D80DDF" w:rsidRDefault="00D80DDF">
      <w:pPr>
        <w:spacing w:before="0" w:after="0" w:line="360" w:lineRule="auto"/>
      </w:pPr>
      <w:bookmarkStart w:id="102" w:name="_Toc167112912"/>
      <w:r>
        <w:br w:type="page"/>
      </w:r>
    </w:p>
    <w:p w14:paraId="2B618FB6" w14:textId="66BD9B30" w:rsidR="00C57B2E" w:rsidRDefault="00C57B2E" w:rsidP="007F17DE">
      <w:r>
        <w:lastRenderedPageBreak/>
        <w:t xml:space="preserve">Table </w:t>
      </w:r>
      <w:r w:rsidR="007B247E">
        <w:t>1</w:t>
      </w:r>
      <w:r w:rsidR="00DB4D8C">
        <w:t>4</w:t>
      </w:r>
      <w:r>
        <w:t xml:space="preserve"> – Transparency in the In-Year Reports</w:t>
      </w:r>
      <w:r>
        <w:rPr>
          <w:rStyle w:val="EndnoteReference"/>
        </w:rPr>
        <w:endnoteReference w:id="37"/>
      </w:r>
      <w:bookmarkEnd w:id="102"/>
      <w:r w:rsidR="00D80DDF">
        <w:t xml:space="preserve"> </w:t>
      </w:r>
    </w:p>
    <w:tbl>
      <w:tblPr>
        <w:tblStyle w:val="TableGrid"/>
        <w:tblW w:w="0" w:type="auto"/>
        <w:tblLook w:val="04A0" w:firstRow="1" w:lastRow="0" w:firstColumn="1" w:lastColumn="0" w:noHBand="0" w:noVBand="1"/>
      </w:tblPr>
      <w:tblGrid>
        <w:gridCol w:w="3107"/>
        <w:gridCol w:w="3108"/>
        <w:gridCol w:w="3108"/>
      </w:tblGrid>
      <w:tr w:rsidR="003F63AC" w14:paraId="6F27C102" w14:textId="77777777" w:rsidTr="00406C45">
        <w:trPr>
          <w:cantSplit/>
          <w:tblHeader/>
        </w:trPr>
        <w:tc>
          <w:tcPr>
            <w:tcW w:w="3107" w:type="dxa"/>
            <w:shd w:val="clear" w:color="auto" w:fill="8BADDC"/>
          </w:tcPr>
          <w:p w14:paraId="31AA7436" w14:textId="77777777" w:rsidR="003F63AC" w:rsidRPr="001A3F5B" w:rsidRDefault="003F63AC" w:rsidP="007F17DE">
            <w:pPr>
              <w:rPr>
                <w:rStyle w:val="Strong"/>
              </w:rPr>
            </w:pPr>
            <w:r w:rsidRPr="001A3F5B">
              <w:rPr>
                <w:rStyle w:val="Strong"/>
              </w:rPr>
              <w:t>Importance</w:t>
            </w:r>
          </w:p>
        </w:tc>
        <w:tc>
          <w:tcPr>
            <w:tcW w:w="3108" w:type="dxa"/>
            <w:shd w:val="clear" w:color="auto" w:fill="8BADDC"/>
          </w:tcPr>
          <w:p w14:paraId="73390FD5" w14:textId="77777777" w:rsidR="003F63AC" w:rsidRPr="001A3F5B" w:rsidRDefault="003F63AC" w:rsidP="007F17DE">
            <w:pPr>
              <w:rPr>
                <w:rStyle w:val="Strong"/>
              </w:rPr>
            </w:pPr>
            <w:r w:rsidRPr="001A3F5B">
              <w:rPr>
                <w:rStyle w:val="Strong"/>
              </w:rPr>
              <w:t>Key Contents</w:t>
            </w:r>
          </w:p>
        </w:tc>
        <w:tc>
          <w:tcPr>
            <w:tcW w:w="3108" w:type="dxa"/>
            <w:shd w:val="clear" w:color="auto" w:fill="8BADDC"/>
          </w:tcPr>
          <w:p w14:paraId="6F2164DF" w14:textId="77777777" w:rsidR="003F63AC" w:rsidRPr="001A3F5B" w:rsidRDefault="003F63AC" w:rsidP="007F17DE">
            <w:pPr>
              <w:rPr>
                <w:rStyle w:val="Strong"/>
              </w:rPr>
            </w:pPr>
            <w:r w:rsidRPr="001A3F5B">
              <w:rPr>
                <w:rStyle w:val="Strong"/>
              </w:rPr>
              <w:t>Publication Time Frame</w:t>
            </w:r>
          </w:p>
        </w:tc>
      </w:tr>
      <w:tr w:rsidR="00C57B2E" w14:paraId="6B450CB4" w14:textId="77777777" w:rsidTr="00406C45">
        <w:trPr>
          <w:trHeight w:val="5765"/>
        </w:trPr>
        <w:tc>
          <w:tcPr>
            <w:tcW w:w="3107" w:type="dxa"/>
          </w:tcPr>
          <w:p w14:paraId="78CAB15D" w14:textId="77777777" w:rsidR="00C57B2E" w:rsidRPr="00406C45" w:rsidRDefault="00C57B2E" w:rsidP="007F17DE">
            <w:pPr>
              <w:pStyle w:val="TableNormal1"/>
              <w:numPr>
                <w:ilvl w:val="0"/>
                <w:numId w:val="25"/>
              </w:numPr>
              <w:spacing w:before="240" w:after="240" w:line="276" w:lineRule="auto"/>
              <w:ind w:left="313"/>
              <w:rPr>
                <w:sz w:val="28"/>
                <w:szCs w:val="28"/>
              </w:rPr>
            </w:pPr>
            <w:bookmarkStart w:id="103" w:name="_Hlk166071373"/>
            <w:bookmarkStart w:id="104" w:name="_Hlk166071314"/>
            <w:r w:rsidRPr="00406C45">
              <w:rPr>
                <w:sz w:val="28"/>
                <w:szCs w:val="28"/>
              </w:rPr>
              <w:t xml:space="preserve">Snapshot of budget implementation </w:t>
            </w:r>
          </w:p>
          <w:p w14:paraId="130327A3" w14:textId="77777777" w:rsidR="00C57B2E" w:rsidRPr="00406C45" w:rsidRDefault="00C57B2E" w:rsidP="007F17DE">
            <w:pPr>
              <w:pStyle w:val="TableNormal1"/>
              <w:numPr>
                <w:ilvl w:val="0"/>
                <w:numId w:val="25"/>
              </w:numPr>
              <w:spacing w:before="240" w:after="240" w:line="276" w:lineRule="auto"/>
              <w:ind w:left="313"/>
              <w:rPr>
                <w:sz w:val="28"/>
                <w:szCs w:val="28"/>
              </w:rPr>
            </w:pPr>
            <w:r w:rsidRPr="00406C45">
              <w:rPr>
                <w:sz w:val="28"/>
                <w:szCs w:val="28"/>
              </w:rPr>
              <w:t xml:space="preserve">Periodic measure of revenue and expenditure trends </w:t>
            </w:r>
          </w:p>
          <w:p w14:paraId="7B144C96" w14:textId="77777777" w:rsidR="00C57B2E" w:rsidRPr="00406C45" w:rsidRDefault="00C57B2E" w:rsidP="007F17DE">
            <w:pPr>
              <w:pStyle w:val="TableNormal1"/>
              <w:numPr>
                <w:ilvl w:val="0"/>
                <w:numId w:val="25"/>
              </w:numPr>
              <w:spacing w:before="240" w:after="240" w:line="276" w:lineRule="auto"/>
              <w:ind w:left="313"/>
              <w:rPr>
                <w:sz w:val="28"/>
                <w:szCs w:val="28"/>
              </w:rPr>
            </w:pPr>
            <w:r w:rsidRPr="00406C45">
              <w:rPr>
                <w:sz w:val="28"/>
                <w:szCs w:val="28"/>
              </w:rPr>
              <w:t xml:space="preserve">Helps in fine-tuning budget implementation </w:t>
            </w:r>
          </w:p>
          <w:p w14:paraId="54CB156B" w14:textId="77777777" w:rsidR="00C57B2E" w:rsidRPr="00406C45" w:rsidRDefault="00C57B2E" w:rsidP="007F17DE">
            <w:pPr>
              <w:pStyle w:val="TableNormal1"/>
              <w:numPr>
                <w:ilvl w:val="0"/>
                <w:numId w:val="25"/>
              </w:numPr>
              <w:spacing w:before="240" w:after="240" w:line="276" w:lineRule="auto"/>
              <w:ind w:left="313"/>
              <w:rPr>
                <w:sz w:val="28"/>
                <w:szCs w:val="28"/>
              </w:rPr>
            </w:pPr>
            <w:r w:rsidRPr="00406C45">
              <w:rPr>
                <w:sz w:val="28"/>
                <w:szCs w:val="28"/>
              </w:rPr>
              <w:t>Builds capacity and systems that improve budget management</w:t>
            </w:r>
            <w:bookmarkEnd w:id="103"/>
          </w:p>
        </w:tc>
        <w:tc>
          <w:tcPr>
            <w:tcW w:w="3108" w:type="dxa"/>
          </w:tcPr>
          <w:p w14:paraId="0E019EB0" w14:textId="77777777" w:rsidR="00C57B2E" w:rsidRPr="00406C45" w:rsidRDefault="00C57B2E" w:rsidP="007F17DE">
            <w:pPr>
              <w:pStyle w:val="TableNormal1"/>
              <w:numPr>
                <w:ilvl w:val="0"/>
                <w:numId w:val="25"/>
              </w:numPr>
              <w:spacing w:before="240" w:after="240" w:line="276" w:lineRule="auto"/>
              <w:ind w:left="313"/>
              <w:rPr>
                <w:sz w:val="28"/>
                <w:szCs w:val="28"/>
              </w:rPr>
            </w:pPr>
            <w:r w:rsidRPr="00406C45">
              <w:rPr>
                <w:sz w:val="28"/>
                <w:szCs w:val="28"/>
              </w:rPr>
              <w:t xml:space="preserve">Progress in implementing budget </w:t>
            </w:r>
          </w:p>
          <w:p w14:paraId="6F31803B" w14:textId="77777777" w:rsidR="00C57B2E" w:rsidRPr="00406C45" w:rsidRDefault="00C57B2E" w:rsidP="007F17DE">
            <w:pPr>
              <w:pStyle w:val="TableNormal1"/>
              <w:numPr>
                <w:ilvl w:val="0"/>
                <w:numId w:val="25"/>
              </w:numPr>
              <w:spacing w:before="240" w:after="240" w:line="276" w:lineRule="auto"/>
              <w:ind w:left="313"/>
              <w:rPr>
                <w:sz w:val="28"/>
                <w:szCs w:val="28"/>
              </w:rPr>
            </w:pPr>
            <w:r w:rsidRPr="00406C45">
              <w:rPr>
                <w:sz w:val="28"/>
                <w:szCs w:val="28"/>
              </w:rPr>
              <w:t xml:space="preserve">Actual revenues collected and expenditures incurred in each month and year-to-date and comparison with plans </w:t>
            </w:r>
          </w:p>
          <w:p w14:paraId="59113D69" w14:textId="77777777" w:rsidR="00C57B2E" w:rsidRPr="00406C45" w:rsidRDefault="00C57B2E" w:rsidP="007F17DE">
            <w:pPr>
              <w:pStyle w:val="TableNormal1"/>
              <w:numPr>
                <w:ilvl w:val="0"/>
                <w:numId w:val="25"/>
              </w:numPr>
              <w:spacing w:before="240" w:after="240" w:line="276" w:lineRule="auto"/>
              <w:ind w:left="313"/>
              <w:rPr>
                <w:sz w:val="28"/>
                <w:szCs w:val="28"/>
              </w:rPr>
            </w:pPr>
            <w:r w:rsidRPr="00406C45">
              <w:rPr>
                <w:sz w:val="28"/>
                <w:szCs w:val="28"/>
              </w:rPr>
              <w:t xml:space="preserve">Government’s borrowing activities </w:t>
            </w:r>
          </w:p>
          <w:p w14:paraId="056DC73B" w14:textId="77777777" w:rsidR="00C57B2E" w:rsidRPr="00406C45" w:rsidRDefault="00C57B2E" w:rsidP="007F17DE">
            <w:pPr>
              <w:pStyle w:val="TableNormal1"/>
              <w:numPr>
                <w:ilvl w:val="0"/>
                <w:numId w:val="25"/>
              </w:numPr>
              <w:spacing w:before="240" w:after="240" w:line="276" w:lineRule="auto"/>
              <w:ind w:left="313"/>
              <w:rPr>
                <w:sz w:val="28"/>
                <w:szCs w:val="28"/>
              </w:rPr>
            </w:pPr>
            <w:r w:rsidRPr="00406C45">
              <w:rPr>
                <w:sz w:val="28"/>
                <w:szCs w:val="28"/>
              </w:rPr>
              <w:t>Initial identification of deviations from budget</w:t>
            </w:r>
          </w:p>
        </w:tc>
        <w:tc>
          <w:tcPr>
            <w:tcW w:w="3108" w:type="dxa"/>
          </w:tcPr>
          <w:p w14:paraId="5F80CCFE" w14:textId="77777777" w:rsidR="00C57B2E" w:rsidRPr="00406C45" w:rsidRDefault="00C57B2E" w:rsidP="007F17DE">
            <w:pPr>
              <w:pStyle w:val="TableNormal1"/>
              <w:numPr>
                <w:ilvl w:val="0"/>
                <w:numId w:val="25"/>
              </w:numPr>
              <w:spacing w:before="240" w:after="240" w:line="276" w:lineRule="auto"/>
              <w:ind w:left="313"/>
              <w:rPr>
                <w:sz w:val="28"/>
                <w:szCs w:val="28"/>
              </w:rPr>
            </w:pPr>
            <w:r w:rsidRPr="00406C45">
              <w:rPr>
                <w:sz w:val="28"/>
                <w:szCs w:val="28"/>
              </w:rPr>
              <w:t>At least one month after the end of the reporting period (i.e., monthly report for June should be published no later than 31 July)</w:t>
            </w:r>
          </w:p>
        </w:tc>
      </w:tr>
    </w:tbl>
    <w:p w14:paraId="0D61292D" w14:textId="3E0A89B2" w:rsidR="00C57B2E" w:rsidRDefault="00C57B2E" w:rsidP="00993BD0">
      <w:pPr>
        <w:pStyle w:val="Heading4"/>
      </w:pPr>
      <w:bookmarkStart w:id="105" w:name="_Toc167112913"/>
      <w:bookmarkEnd w:id="104"/>
      <w:r>
        <w:t>Scotland’s In-Year Report</w:t>
      </w:r>
      <w:bookmarkEnd w:id="105"/>
      <w:r>
        <w:t xml:space="preserve"> </w:t>
      </w:r>
    </w:p>
    <w:p w14:paraId="59F4D831" w14:textId="26AF25EA" w:rsidR="00346A1D" w:rsidRDefault="00C57B2E" w:rsidP="007F17DE">
      <w:r>
        <w:t xml:space="preserve">For the budget year 2021-2022 in Scotland, there were </w:t>
      </w:r>
      <w:r w:rsidR="00311C41">
        <w:t xml:space="preserve">publicly available </w:t>
      </w:r>
      <w:r>
        <w:t>no In-Year Reports.</w:t>
      </w:r>
    </w:p>
    <w:p w14:paraId="1762954D" w14:textId="77777777" w:rsidR="00993BD0" w:rsidRDefault="00993BD0">
      <w:pPr>
        <w:spacing w:before="0" w:after="0" w:line="360" w:lineRule="auto"/>
        <w:rPr>
          <w:rFonts w:eastAsiaTheme="majorEastAsia" w:cstheme="majorBidi"/>
          <w:b/>
          <w:iCs/>
          <w:u w:val="single"/>
        </w:rPr>
      </w:pPr>
      <w:bookmarkStart w:id="106" w:name="_Toc163647846"/>
      <w:bookmarkStart w:id="107" w:name="_Toc167112914"/>
      <w:r>
        <w:br w:type="page"/>
      </w:r>
    </w:p>
    <w:p w14:paraId="271AD3A1" w14:textId="0059FD99" w:rsidR="00C57B2E" w:rsidRDefault="00C57B2E" w:rsidP="00993BD0">
      <w:pPr>
        <w:pStyle w:val="Heading3"/>
      </w:pPr>
      <w:bookmarkStart w:id="108" w:name="_Toc167782871"/>
      <w:r>
        <w:lastRenderedPageBreak/>
        <w:t>Mid-Year Report</w:t>
      </w:r>
      <w:bookmarkEnd w:id="106"/>
      <w:bookmarkEnd w:id="107"/>
      <w:bookmarkEnd w:id="108"/>
      <w:r>
        <w:t xml:space="preserve"> </w:t>
      </w:r>
    </w:p>
    <w:p w14:paraId="4B358A06" w14:textId="77777777" w:rsidR="00C57B2E" w:rsidRPr="001314C0" w:rsidRDefault="00C57B2E" w:rsidP="00993BD0">
      <w:pPr>
        <w:pStyle w:val="Heading4"/>
      </w:pPr>
      <w:bookmarkStart w:id="109" w:name="_Toc167112915"/>
      <w:r w:rsidRPr="001314C0">
        <w:t>What it is and why it’s important</w:t>
      </w:r>
      <w:bookmarkEnd w:id="109"/>
      <w:r w:rsidRPr="001314C0">
        <w:t xml:space="preserve"> </w:t>
      </w:r>
    </w:p>
    <w:p w14:paraId="5FFCED68" w14:textId="77777777" w:rsidR="00C57B2E" w:rsidRDefault="00C57B2E" w:rsidP="007F17DE">
      <w:r>
        <w:t>The Mid-Year-Review provides an assessment of a government’s fiscal performance midway (6 months) through a given fiscal year against the plans of the original budget. This analysis provides the opportunity to assess whether or not different elements of the budget are being delivered as intended as well as assessing if it has coped with macroeconomic shifts. This review can also provide the necessary evidence to show whether changes and adjustments are required in the level of spending overall or between specific ministries or sectors. This type of mid-point review analysis is critical to support countries with a performance/outcome-based budget system, as it can provide the opportunity to take stock of the progress in the realisation of specific policy outputs and outcomes.</w:t>
      </w:r>
    </w:p>
    <w:p w14:paraId="052C97D6" w14:textId="36B982AE" w:rsidR="00C57B2E" w:rsidRDefault="00C57B2E" w:rsidP="007F17DE">
      <w:bookmarkStart w:id="110" w:name="_Toc167112916"/>
      <w:r>
        <w:t xml:space="preserve">Table </w:t>
      </w:r>
      <w:r w:rsidR="007B247E">
        <w:t>1</w:t>
      </w:r>
      <w:r w:rsidR="00DB4D8C">
        <w:t>5</w:t>
      </w:r>
      <w:r>
        <w:t xml:space="preserve"> – Transparency in the Mid-Year Review</w:t>
      </w:r>
      <w:r>
        <w:rPr>
          <w:rStyle w:val="EndnoteReference"/>
        </w:rPr>
        <w:endnoteReference w:id="38"/>
      </w:r>
      <w:bookmarkEnd w:id="110"/>
    </w:p>
    <w:tbl>
      <w:tblPr>
        <w:tblStyle w:val="TableGrid"/>
        <w:tblW w:w="0" w:type="auto"/>
        <w:tblLook w:val="04A0" w:firstRow="1" w:lastRow="0" w:firstColumn="1" w:lastColumn="0" w:noHBand="0" w:noVBand="1"/>
      </w:tblPr>
      <w:tblGrid>
        <w:gridCol w:w="3107"/>
        <w:gridCol w:w="3108"/>
        <w:gridCol w:w="3108"/>
      </w:tblGrid>
      <w:tr w:rsidR="003F63AC" w14:paraId="007594D7" w14:textId="77777777" w:rsidTr="00406C45">
        <w:trPr>
          <w:cantSplit/>
          <w:tblHeader/>
        </w:trPr>
        <w:tc>
          <w:tcPr>
            <w:tcW w:w="3107" w:type="dxa"/>
            <w:shd w:val="clear" w:color="auto" w:fill="8BADDC"/>
          </w:tcPr>
          <w:p w14:paraId="7A952431" w14:textId="77777777" w:rsidR="003F63AC" w:rsidRPr="001A3F5B" w:rsidRDefault="003F63AC" w:rsidP="007F17DE">
            <w:pPr>
              <w:rPr>
                <w:rStyle w:val="Strong"/>
              </w:rPr>
            </w:pPr>
            <w:r w:rsidRPr="001A3F5B">
              <w:rPr>
                <w:rStyle w:val="Strong"/>
              </w:rPr>
              <w:t>Importance</w:t>
            </w:r>
          </w:p>
        </w:tc>
        <w:tc>
          <w:tcPr>
            <w:tcW w:w="3108" w:type="dxa"/>
            <w:shd w:val="clear" w:color="auto" w:fill="8BADDC"/>
          </w:tcPr>
          <w:p w14:paraId="469A5CB8" w14:textId="77777777" w:rsidR="003F63AC" w:rsidRPr="001A3F5B" w:rsidRDefault="003F63AC" w:rsidP="007F17DE">
            <w:pPr>
              <w:rPr>
                <w:rStyle w:val="Strong"/>
              </w:rPr>
            </w:pPr>
            <w:r w:rsidRPr="001A3F5B">
              <w:rPr>
                <w:rStyle w:val="Strong"/>
              </w:rPr>
              <w:t>Key Contents</w:t>
            </w:r>
          </w:p>
        </w:tc>
        <w:tc>
          <w:tcPr>
            <w:tcW w:w="3108" w:type="dxa"/>
            <w:shd w:val="clear" w:color="auto" w:fill="8BADDC"/>
          </w:tcPr>
          <w:p w14:paraId="2AE3CE7E" w14:textId="77777777" w:rsidR="003F63AC" w:rsidRPr="001A3F5B" w:rsidRDefault="003F63AC" w:rsidP="007F17DE">
            <w:pPr>
              <w:rPr>
                <w:rStyle w:val="Strong"/>
              </w:rPr>
            </w:pPr>
            <w:r w:rsidRPr="001A3F5B">
              <w:rPr>
                <w:rStyle w:val="Strong"/>
              </w:rPr>
              <w:t>Publication Time Frame</w:t>
            </w:r>
          </w:p>
        </w:tc>
      </w:tr>
      <w:tr w:rsidR="00C57B2E" w:rsidRPr="0094234F" w14:paraId="08A8D842" w14:textId="77777777" w:rsidTr="00571D1C">
        <w:trPr>
          <w:trHeight w:val="3950"/>
        </w:trPr>
        <w:tc>
          <w:tcPr>
            <w:tcW w:w="3107" w:type="dxa"/>
          </w:tcPr>
          <w:p w14:paraId="00144237" w14:textId="77777777" w:rsidR="00C57B2E" w:rsidRPr="00406C45" w:rsidRDefault="00C57B2E" w:rsidP="007F17DE">
            <w:pPr>
              <w:pStyle w:val="TableNormal1"/>
              <w:numPr>
                <w:ilvl w:val="0"/>
                <w:numId w:val="26"/>
              </w:numPr>
              <w:spacing w:before="240" w:after="240" w:line="276" w:lineRule="auto"/>
              <w:ind w:left="313"/>
              <w:rPr>
                <w:sz w:val="28"/>
                <w:szCs w:val="28"/>
              </w:rPr>
            </w:pPr>
            <w:r w:rsidRPr="00406C45">
              <w:rPr>
                <w:sz w:val="28"/>
                <w:szCs w:val="28"/>
              </w:rPr>
              <w:t xml:space="preserve">Enables comprehensive assessment of actual spending and revenue collection against original estimates at midpoint of budget year </w:t>
            </w:r>
          </w:p>
          <w:p w14:paraId="243CEF21" w14:textId="77777777" w:rsidR="00C57B2E" w:rsidRPr="00406C45" w:rsidRDefault="00C57B2E" w:rsidP="007F17DE">
            <w:pPr>
              <w:pStyle w:val="TableNormal1"/>
              <w:numPr>
                <w:ilvl w:val="0"/>
                <w:numId w:val="26"/>
              </w:numPr>
              <w:spacing w:before="240" w:after="240" w:line="276" w:lineRule="auto"/>
              <w:ind w:left="313"/>
              <w:rPr>
                <w:sz w:val="28"/>
                <w:szCs w:val="28"/>
              </w:rPr>
            </w:pPr>
            <w:r w:rsidRPr="00406C45">
              <w:rPr>
                <w:sz w:val="28"/>
                <w:szCs w:val="28"/>
              </w:rPr>
              <w:t xml:space="preserve">Assesses the impact of changes in the </w:t>
            </w:r>
            <w:r w:rsidRPr="00406C45">
              <w:rPr>
                <w:sz w:val="28"/>
                <w:szCs w:val="28"/>
              </w:rPr>
              <w:lastRenderedPageBreak/>
              <w:t xml:space="preserve">macro-economy on the budget </w:t>
            </w:r>
          </w:p>
          <w:p w14:paraId="50AE92D7" w14:textId="77777777" w:rsidR="00C57B2E" w:rsidRPr="00406C45" w:rsidRDefault="00C57B2E" w:rsidP="007F17DE">
            <w:pPr>
              <w:pStyle w:val="TableNormal1"/>
              <w:numPr>
                <w:ilvl w:val="0"/>
                <w:numId w:val="26"/>
              </w:numPr>
              <w:spacing w:before="240" w:after="240" w:line="276" w:lineRule="auto"/>
              <w:ind w:left="313"/>
              <w:rPr>
                <w:sz w:val="28"/>
                <w:szCs w:val="28"/>
              </w:rPr>
            </w:pPr>
            <w:r w:rsidRPr="00406C45">
              <w:rPr>
                <w:sz w:val="28"/>
                <w:szCs w:val="28"/>
              </w:rPr>
              <w:t xml:space="preserve">Identifies the need for changes in budget allocations, including need for supplementary budgets </w:t>
            </w:r>
          </w:p>
          <w:p w14:paraId="54441F04" w14:textId="77777777" w:rsidR="00C57B2E" w:rsidRPr="00406C45" w:rsidRDefault="00C57B2E" w:rsidP="007F17DE">
            <w:pPr>
              <w:pStyle w:val="TableNormal1"/>
              <w:numPr>
                <w:ilvl w:val="0"/>
                <w:numId w:val="26"/>
              </w:numPr>
              <w:spacing w:before="240" w:after="240" w:line="276" w:lineRule="auto"/>
              <w:ind w:left="313"/>
              <w:rPr>
                <w:sz w:val="28"/>
                <w:szCs w:val="28"/>
              </w:rPr>
            </w:pPr>
            <w:r w:rsidRPr="00406C45">
              <w:rPr>
                <w:sz w:val="28"/>
                <w:szCs w:val="28"/>
              </w:rPr>
              <w:t>Takes stock of progress in realising specific performance targets</w:t>
            </w:r>
          </w:p>
        </w:tc>
        <w:tc>
          <w:tcPr>
            <w:tcW w:w="3108" w:type="dxa"/>
          </w:tcPr>
          <w:p w14:paraId="5466BF48" w14:textId="77777777" w:rsidR="00C57B2E" w:rsidRPr="00406C45" w:rsidRDefault="00C57B2E" w:rsidP="007F17DE">
            <w:pPr>
              <w:pStyle w:val="TableNormal1"/>
              <w:numPr>
                <w:ilvl w:val="0"/>
                <w:numId w:val="26"/>
              </w:numPr>
              <w:spacing w:before="240" w:after="240" w:line="276" w:lineRule="auto"/>
              <w:ind w:left="313"/>
              <w:rPr>
                <w:sz w:val="28"/>
                <w:szCs w:val="28"/>
              </w:rPr>
            </w:pPr>
            <w:r w:rsidRPr="00406C45">
              <w:rPr>
                <w:sz w:val="28"/>
                <w:szCs w:val="28"/>
              </w:rPr>
              <w:lastRenderedPageBreak/>
              <w:t xml:space="preserve">Revisions in economic assumptions and their impact on budget estimates </w:t>
            </w:r>
          </w:p>
          <w:p w14:paraId="04C51D67" w14:textId="77777777" w:rsidR="00C57B2E" w:rsidRPr="00406C45" w:rsidRDefault="00C57B2E" w:rsidP="007F17DE">
            <w:pPr>
              <w:pStyle w:val="TableNormal1"/>
              <w:numPr>
                <w:ilvl w:val="0"/>
                <w:numId w:val="26"/>
              </w:numPr>
              <w:spacing w:before="240" w:after="240" w:line="276" w:lineRule="auto"/>
              <w:ind w:left="313"/>
              <w:rPr>
                <w:sz w:val="28"/>
                <w:szCs w:val="28"/>
              </w:rPr>
            </w:pPr>
            <w:r w:rsidRPr="00406C45">
              <w:rPr>
                <w:sz w:val="28"/>
                <w:szCs w:val="28"/>
              </w:rPr>
              <w:t xml:space="preserve">Comprehensive identification and explanation of deviations in budget spending and revenues and estimates </w:t>
            </w:r>
          </w:p>
          <w:p w14:paraId="1905AFA5" w14:textId="77777777" w:rsidR="00C57B2E" w:rsidRPr="00406C45" w:rsidRDefault="00C57B2E" w:rsidP="007F17DE">
            <w:pPr>
              <w:pStyle w:val="TableNormal1"/>
              <w:numPr>
                <w:ilvl w:val="0"/>
                <w:numId w:val="26"/>
              </w:numPr>
              <w:spacing w:before="240" w:after="240" w:line="276" w:lineRule="auto"/>
              <w:ind w:left="313"/>
              <w:rPr>
                <w:sz w:val="28"/>
                <w:szCs w:val="28"/>
              </w:rPr>
            </w:pPr>
            <w:r w:rsidRPr="00406C45">
              <w:rPr>
                <w:sz w:val="28"/>
                <w:szCs w:val="28"/>
              </w:rPr>
              <w:lastRenderedPageBreak/>
              <w:t xml:space="preserve">Exploration of policy adjustments </w:t>
            </w:r>
          </w:p>
          <w:p w14:paraId="0A2FFB67" w14:textId="77777777" w:rsidR="00C57B2E" w:rsidRPr="00406C45" w:rsidRDefault="00C57B2E" w:rsidP="007F17DE">
            <w:pPr>
              <w:pStyle w:val="TableNormal1"/>
              <w:numPr>
                <w:ilvl w:val="0"/>
                <w:numId w:val="26"/>
              </w:numPr>
              <w:spacing w:before="240" w:after="240" w:line="276" w:lineRule="auto"/>
              <w:ind w:left="313"/>
              <w:rPr>
                <w:sz w:val="28"/>
                <w:szCs w:val="28"/>
              </w:rPr>
            </w:pPr>
            <w:r w:rsidRPr="00406C45">
              <w:rPr>
                <w:sz w:val="28"/>
                <w:szCs w:val="28"/>
              </w:rPr>
              <w:t>Details on policy decisions taken and policy developments since presentation of budget</w:t>
            </w:r>
          </w:p>
        </w:tc>
        <w:tc>
          <w:tcPr>
            <w:tcW w:w="3108" w:type="dxa"/>
          </w:tcPr>
          <w:p w14:paraId="6DCC4335" w14:textId="77777777" w:rsidR="00C57B2E" w:rsidRPr="00406C45" w:rsidRDefault="00C57B2E" w:rsidP="007F17DE">
            <w:pPr>
              <w:pStyle w:val="TableNormal1"/>
              <w:numPr>
                <w:ilvl w:val="0"/>
                <w:numId w:val="26"/>
              </w:numPr>
              <w:spacing w:before="240" w:after="240" w:line="276" w:lineRule="auto"/>
              <w:ind w:left="313"/>
              <w:rPr>
                <w:sz w:val="28"/>
                <w:szCs w:val="28"/>
              </w:rPr>
            </w:pPr>
            <w:r w:rsidRPr="00406C45">
              <w:rPr>
                <w:sz w:val="28"/>
                <w:szCs w:val="28"/>
              </w:rPr>
              <w:lastRenderedPageBreak/>
              <w:t xml:space="preserve">OECD recommends publication within at least six weeks of the end of the reporting period </w:t>
            </w:r>
          </w:p>
          <w:p w14:paraId="503B2936" w14:textId="77777777" w:rsidR="00C57B2E" w:rsidRPr="00406C45" w:rsidRDefault="00C57B2E" w:rsidP="007F17DE">
            <w:pPr>
              <w:pStyle w:val="TableNormal1"/>
              <w:numPr>
                <w:ilvl w:val="0"/>
                <w:numId w:val="26"/>
              </w:numPr>
              <w:spacing w:before="240" w:after="240" w:line="276" w:lineRule="auto"/>
              <w:ind w:left="313"/>
              <w:rPr>
                <w:sz w:val="28"/>
                <w:szCs w:val="28"/>
              </w:rPr>
            </w:pPr>
            <w:r w:rsidRPr="00406C45">
              <w:rPr>
                <w:sz w:val="28"/>
                <w:szCs w:val="28"/>
              </w:rPr>
              <w:t>IMF recommends publication within at least three months of the end of the reporting period</w:t>
            </w:r>
          </w:p>
        </w:tc>
      </w:tr>
    </w:tbl>
    <w:p w14:paraId="18347766" w14:textId="77777777" w:rsidR="00993BD0" w:rsidRDefault="00993BD0" w:rsidP="00993BD0">
      <w:bookmarkStart w:id="111" w:name="_Toc167112917"/>
    </w:p>
    <w:p w14:paraId="507D1512" w14:textId="6E2EE5D8" w:rsidR="00C57B2E" w:rsidRDefault="00C57B2E" w:rsidP="00993BD0">
      <w:pPr>
        <w:pStyle w:val="Heading4"/>
      </w:pPr>
      <w:r>
        <w:t>Scotland’s Mid-Year Report</w:t>
      </w:r>
      <w:bookmarkEnd w:id="111"/>
    </w:p>
    <w:p w14:paraId="62C2CB3D" w14:textId="4E2CFA47" w:rsidR="003F63AC" w:rsidRDefault="00C57B2E" w:rsidP="007F17DE">
      <w:r>
        <w:t xml:space="preserve">For budget year 2021-22, </w:t>
      </w:r>
      <w:r w:rsidR="00881916">
        <w:t>The Scottish Government</w:t>
      </w:r>
      <w:r w:rsidR="00EA7BC7">
        <w:t xml:space="preserve"> </w:t>
      </w:r>
      <w:r>
        <w:t xml:space="preserve">produced the </w:t>
      </w:r>
      <w:r w:rsidRPr="000F6FE8">
        <w:t>Fiscal Framework Outturn Report 2021</w:t>
      </w:r>
      <w:r>
        <w:rPr>
          <w:rStyle w:val="EndnoteReference"/>
          <w:rFonts w:cs="Arial"/>
          <w:sz w:val="24"/>
          <w:szCs w:val="24"/>
        </w:rPr>
        <w:endnoteReference w:id="39"/>
      </w:r>
      <w:r>
        <w:t>. T</w:t>
      </w:r>
      <w:r w:rsidRPr="00C16905">
        <w:t>his report indicates some updated forecasts but states that there were little changes made to the 2021-22 forecasts due to not considering any outturn data until the following summer.</w:t>
      </w:r>
      <w:bookmarkStart w:id="112" w:name="_Toc163647847"/>
    </w:p>
    <w:p w14:paraId="368E14AE" w14:textId="77777777" w:rsidR="00D80DDF" w:rsidRDefault="00D80DDF">
      <w:pPr>
        <w:spacing w:before="0" w:after="0" w:line="360" w:lineRule="auto"/>
        <w:rPr>
          <w:rFonts w:eastAsiaTheme="majorEastAsia" w:cstheme="majorBidi"/>
          <w:b/>
          <w:iCs/>
          <w:u w:val="single"/>
        </w:rPr>
      </w:pPr>
      <w:bookmarkStart w:id="113" w:name="_Toc167112918"/>
      <w:r>
        <w:br w:type="page"/>
      </w:r>
    </w:p>
    <w:p w14:paraId="769B58C0" w14:textId="5F861986" w:rsidR="00C57B2E" w:rsidRDefault="00C57B2E" w:rsidP="00993BD0">
      <w:pPr>
        <w:pStyle w:val="Heading3"/>
      </w:pPr>
      <w:bookmarkStart w:id="114" w:name="_Toc167782872"/>
      <w:r>
        <w:lastRenderedPageBreak/>
        <w:t>Year-End Report</w:t>
      </w:r>
      <w:bookmarkEnd w:id="112"/>
      <w:bookmarkEnd w:id="113"/>
      <w:bookmarkEnd w:id="114"/>
      <w:r>
        <w:t xml:space="preserve"> </w:t>
      </w:r>
    </w:p>
    <w:p w14:paraId="40A8A813" w14:textId="77777777" w:rsidR="00C57B2E" w:rsidRDefault="00C57B2E" w:rsidP="00993BD0">
      <w:pPr>
        <w:pStyle w:val="Heading4"/>
      </w:pPr>
      <w:bookmarkStart w:id="115" w:name="_Toc167112919"/>
      <w:r>
        <w:t>What it is and why it’s important</w:t>
      </w:r>
      <w:bookmarkEnd w:id="115"/>
      <w:r>
        <w:t xml:space="preserve"> </w:t>
      </w:r>
    </w:p>
    <w:p w14:paraId="2144B127" w14:textId="77777777" w:rsidR="00C57B2E" w:rsidRDefault="00C57B2E" w:rsidP="007F17DE">
      <w:r>
        <w:t xml:space="preserve">The Year-End Report is a critical document for accountability of government resource generation, allocation and spent. It should report extensively on a government’s fiscal activities during the budget year. The Year-End Report should consist of three key documents: </w:t>
      </w:r>
    </w:p>
    <w:p w14:paraId="634CED3F" w14:textId="77777777" w:rsidR="00C57B2E" w:rsidRDefault="00C57B2E" w:rsidP="007F17DE">
      <w:pPr>
        <w:pStyle w:val="ListParagraph"/>
        <w:numPr>
          <w:ilvl w:val="0"/>
          <w:numId w:val="15"/>
        </w:numPr>
      </w:pPr>
      <w:r>
        <w:t xml:space="preserve">the government expenditure report, </w:t>
      </w:r>
    </w:p>
    <w:p w14:paraId="1936800D" w14:textId="77777777" w:rsidR="00C57B2E" w:rsidRDefault="00C57B2E" w:rsidP="007F17DE">
      <w:pPr>
        <w:pStyle w:val="ListParagraph"/>
        <w:numPr>
          <w:ilvl w:val="0"/>
          <w:numId w:val="15"/>
        </w:numPr>
      </w:pPr>
      <w:r>
        <w:t>the consolidated accounts report, and</w:t>
      </w:r>
    </w:p>
    <w:p w14:paraId="5ADB375B" w14:textId="77777777" w:rsidR="00C57B2E" w:rsidRDefault="00C57B2E" w:rsidP="007F17DE">
      <w:pPr>
        <w:pStyle w:val="ListParagraph"/>
        <w:numPr>
          <w:ilvl w:val="0"/>
          <w:numId w:val="15"/>
        </w:numPr>
      </w:pPr>
      <w:r>
        <w:t>the final outcome document.</w:t>
      </w:r>
    </w:p>
    <w:p w14:paraId="26E78696" w14:textId="77777777" w:rsidR="00C57B2E" w:rsidRDefault="00C57B2E" w:rsidP="007F17DE">
      <w:r>
        <w:t xml:space="preserve">This document allows the government to discuss the performance of its executed budget in comparison to its original budget, alongside any budgetary adjustments that may have been issued during the course of the year. In a small number of few countries, this report also includes a reflection of how well a government has performed in relation to its planned Outcomes. </w:t>
      </w:r>
    </w:p>
    <w:p w14:paraId="4621BC4D" w14:textId="7A02D700" w:rsidR="00887FAF" w:rsidRDefault="00C57B2E" w:rsidP="007F17DE">
      <w:r>
        <w:t>It is important to note the difference between the Year-End Report and the final audited accounts of the government (see Audit report section below). Where the audited accounts present a detailed statement of spend and revenue collection by budget category, the Year-End Report it intended to provide an assessment of whether the government, through its budget has achieved its policy objectives. OECD’s Best Practices for Budget Transparency</w:t>
      </w:r>
      <w:r>
        <w:rPr>
          <w:rStyle w:val="EndnoteReference"/>
        </w:rPr>
        <w:endnoteReference w:id="40"/>
      </w:r>
      <w:r>
        <w:t>, indicates that the Year-End Report should be published within at least six months of the end of the period it covers (for example, if the budget year ends in March, the Year-End Report should be published before 30 September of the following year).</w:t>
      </w:r>
      <w:r w:rsidR="00D80DDF">
        <w:t xml:space="preserve"> </w:t>
      </w:r>
      <w:bookmarkStart w:id="116" w:name="_Toc167112920"/>
    </w:p>
    <w:p w14:paraId="62263A42" w14:textId="77777777" w:rsidR="00D80DDF" w:rsidRDefault="00D80DDF">
      <w:pPr>
        <w:spacing w:before="0" w:after="0" w:line="360" w:lineRule="auto"/>
      </w:pPr>
      <w:r>
        <w:br w:type="page"/>
      </w:r>
    </w:p>
    <w:p w14:paraId="0F5DAAD6" w14:textId="2A160E7E" w:rsidR="00C57B2E" w:rsidRDefault="00C57B2E" w:rsidP="007F17DE">
      <w:r>
        <w:lastRenderedPageBreak/>
        <w:t xml:space="preserve">Table </w:t>
      </w:r>
      <w:r w:rsidR="007B247E">
        <w:t>1</w:t>
      </w:r>
      <w:r w:rsidR="00DB4D8C">
        <w:t xml:space="preserve">6 </w:t>
      </w:r>
      <w:r>
        <w:t>– Transparency in the Year-End Report</w:t>
      </w:r>
      <w:r>
        <w:rPr>
          <w:rStyle w:val="EndnoteReference"/>
        </w:rPr>
        <w:endnoteReference w:id="41"/>
      </w:r>
      <w:bookmarkEnd w:id="116"/>
    </w:p>
    <w:tbl>
      <w:tblPr>
        <w:tblStyle w:val="TableGrid"/>
        <w:tblW w:w="0" w:type="auto"/>
        <w:tblLook w:val="04A0" w:firstRow="1" w:lastRow="0" w:firstColumn="1" w:lastColumn="0" w:noHBand="0" w:noVBand="1"/>
      </w:tblPr>
      <w:tblGrid>
        <w:gridCol w:w="3107"/>
        <w:gridCol w:w="3108"/>
        <w:gridCol w:w="3108"/>
      </w:tblGrid>
      <w:tr w:rsidR="003F63AC" w14:paraId="3D507061" w14:textId="77777777" w:rsidTr="00406C45">
        <w:trPr>
          <w:cantSplit/>
          <w:tblHeader/>
        </w:trPr>
        <w:tc>
          <w:tcPr>
            <w:tcW w:w="3107" w:type="dxa"/>
            <w:shd w:val="clear" w:color="auto" w:fill="8BADDC"/>
          </w:tcPr>
          <w:p w14:paraId="3149A8F6" w14:textId="77777777" w:rsidR="003F63AC" w:rsidRPr="001A3F5B" w:rsidRDefault="003F63AC" w:rsidP="007F17DE">
            <w:pPr>
              <w:rPr>
                <w:rStyle w:val="Strong"/>
              </w:rPr>
            </w:pPr>
            <w:r w:rsidRPr="001A3F5B">
              <w:rPr>
                <w:rStyle w:val="Strong"/>
              </w:rPr>
              <w:t>Importance</w:t>
            </w:r>
          </w:p>
        </w:tc>
        <w:tc>
          <w:tcPr>
            <w:tcW w:w="3108" w:type="dxa"/>
            <w:shd w:val="clear" w:color="auto" w:fill="8BADDC"/>
          </w:tcPr>
          <w:p w14:paraId="71E3A966" w14:textId="77777777" w:rsidR="003F63AC" w:rsidRPr="001A3F5B" w:rsidRDefault="003F63AC" w:rsidP="007F17DE">
            <w:pPr>
              <w:rPr>
                <w:rStyle w:val="Strong"/>
              </w:rPr>
            </w:pPr>
            <w:r w:rsidRPr="001A3F5B">
              <w:rPr>
                <w:rStyle w:val="Strong"/>
              </w:rPr>
              <w:t>Key Contents</w:t>
            </w:r>
          </w:p>
        </w:tc>
        <w:tc>
          <w:tcPr>
            <w:tcW w:w="3108" w:type="dxa"/>
            <w:shd w:val="clear" w:color="auto" w:fill="8BADDC"/>
          </w:tcPr>
          <w:p w14:paraId="45E6AB8F" w14:textId="77777777" w:rsidR="003F63AC" w:rsidRPr="001A3F5B" w:rsidRDefault="003F63AC" w:rsidP="007F17DE">
            <w:pPr>
              <w:rPr>
                <w:rStyle w:val="Strong"/>
              </w:rPr>
            </w:pPr>
            <w:r w:rsidRPr="001A3F5B">
              <w:rPr>
                <w:rStyle w:val="Strong"/>
              </w:rPr>
              <w:t>Publication Time Frame</w:t>
            </w:r>
          </w:p>
        </w:tc>
      </w:tr>
      <w:tr w:rsidR="00C57B2E" w14:paraId="0C9614B8" w14:textId="77777777" w:rsidTr="00763401">
        <w:tc>
          <w:tcPr>
            <w:tcW w:w="3107" w:type="dxa"/>
          </w:tcPr>
          <w:p w14:paraId="62DD2C72"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t xml:space="preserve">Enables comprehensive assessment of actual spending and revenue collection against original estimates at the end of the budget year </w:t>
            </w:r>
          </w:p>
          <w:p w14:paraId="59FEFD29"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t xml:space="preserve">Takes stock of government’s performance in realizing its targets and performance indicators </w:t>
            </w:r>
          </w:p>
          <w:p w14:paraId="2642EF61"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t>Informs future policy direction</w:t>
            </w:r>
          </w:p>
        </w:tc>
        <w:tc>
          <w:tcPr>
            <w:tcW w:w="3108" w:type="dxa"/>
          </w:tcPr>
          <w:p w14:paraId="70E61BC6"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t xml:space="preserve">Overall budgetary outcomes </w:t>
            </w:r>
          </w:p>
          <w:p w14:paraId="46C47C55"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t xml:space="preserve">Overall position of government’s assets and liabilities (balance sheet) </w:t>
            </w:r>
          </w:p>
          <w:p w14:paraId="7AE29707"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t xml:space="preserve">Expenditures by functional and economic classification and listing of actual revenues collected under different categories </w:t>
            </w:r>
          </w:p>
          <w:p w14:paraId="61C8D2B0"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t xml:space="preserve">Summary of government spending by sector and programs </w:t>
            </w:r>
          </w:p>
          <w:p w14:paraId="7047A08C"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t xml:space="preserve">Deviations and explanation of deviations between macroeconomic forecast and actual results </w:t>
            </w:r>
          </w:p>
          <w:p w14:paraId="06E7094F"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lastRenderedPageBreak/>
              <w:t xml:space="preserve">Narrative on strengths and weaknesses in performance of ministries/agencies </w:t>
            </w:r>
          </w:p>
          <w:p w14:paraId="685CC548"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t>Nonfinancial information on government’s performance in realizing its targets and performance indicators</w:t>
            </w:r>
          </w:p>
        </w:tc>
        <w:tc>
          <w:tcPr>
            <w:tcW w:w="3108" w:type="dxa"/>
          </w:tcPr>
          <w:p w14:paraId="4A095417"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lastRenderedPageBreak/>
              <w:t xml:space="preserve">OECD recommends publication within at least six months of the end of the reporting period </w:t>
            </w:r>
          </w:p>
          <w:p w14:paraId="62EBD6A3" w14:textId="77777777" w:rsidR="00C57B2E" w:rsidRPr="00406C45" w:rsidRDefault="00C57B2E" w:rsidP="007F17DE">
            <w:pPr>
              <w:pStyle w:val="TableNormal1"/>
              <w:numPr>
                <w:ilvl w:val="0"/>
                <w:numId w:val="27"/>
              </w:numPr>
              <w:spacing w:before="240" w:after="240" w:line="276" w:lineRule="auto"/>
              <w:ind w:left="454"/>
              <w:rPr>
                <w:sz w:val="28"/>
                <w:szCs w:val="28"/>
              </w:rPr>
            </w:pPr>
            <w:r w:rsidRPr="00406C45">
              <w:rPr>
                <w:sz w:val="28"/>
                <w:szCs w:val="28"/>
              </w:rPr>
              <w:t>IMF recommends publication within at least one year of the end of the reporting period</w:t>
            </w:r>
          </w:p>
        </w:tc>
      </w:tr>
    </w:tbl>
    <w:p w14:paraId="5D964041" w14:textId="77777777" w:rsidR="00406C45" w:rsidRDefault="00406C45" w:rsidP="007F17DE"/>
    <w:p w14:paraId="0C484E05" w14:textId="492CFA97" w:rsidR="00C57B2E" w:rsidRDefault="00C57B2E" w:rsidP="00993BD0">
      <w:pPr>
        <w:pStyle w:val="Heading4"/>
      </w:pPr>
      <w:bookmarkStart w:id="117" w:name="_Toc167112921"/>
      <w:r>
        <w:t>Scotland’s Year-End Report</w:t>
      </w:r>
      <w:bookmarkEnd w:id="117"/>
      <w:r>
        <w:t xml:space="preserve"> </w:t>
      </w:r>
    </w:p>
    <w:p w14:paraId="4CE5BF67" w14:textId="38B3B2BF" w:rsidR="00C57B2E" w:rsidRDefault="00C57B2E" w:rsidP="007F17DE">
      <w:r>
        <w:t>In Scotland</w:t>
      </w:r>
      <w:r w:rsidR="00960CF2">
        <w:t xml:space="preserve">, </w:t>
      </w:r>
      <w:r>
        <w:t>Government Expenditure &amp; Revenue Scotland (GERS) produces the Year-End Report, for 2021-2021 this was as follows:</w:t>
      </w:r>
    </w:p>
    <w:p w14:paraId="24ECA4FE" w14:textId="1B56DCE3" w:rsidR="00C57B2E" w:rsidRPr="00752492" w:rsidRDefault="00C57B2E" w:rsidP="007F17DE">
      <w:pPr>
        <w:pStyle w:val="ListParagraph"/>
        <w:numPr>
          <w:ilvl w:val="0"/>
          <w:numId w:val="29"/>
        </w:numPr>
      </w:pPr>
      <w:r w:rsidRPr="00752492">
        <w:t>Government Expenditure &amp; Revenue Scotland 2021-22: 24th August 2022</w:t>
      </w:r>
      <w:r w:rsidRPr="00752492">
        <w:rPr>
          <w:vertAlign w:val="superscript"/>
        </w:rPr>
        <w:endnoteReference w:id="42"/>
      </w:r>
    </w:p>
    <w:p w14:paraId="25825E32" w14:textId="25B8A8D0" w:rsidR="00C57B2E" w:rsidRPr="0094234F" w:rsidRDefault="00C57B2E" w:rsidP="007F17DE">
      <w:pPr>
        <w:pStyle w:val="ListParagraph"/>
        <w:numPr>
          <w:ilvl w:val="0"/>
          <w:numId w:val="16"/>
        </w:numPr>
        <w:rPr>
          <w:rFonts w:cs="Arial"/>
        </w:rPr>
      </w:pPr>
      <w:r w:rsidRPr="00AC11FB">
        <w:rPr>
          <w:rFonts w:cs="Arial"/>
        </w:rPr>
        <w:t>Fiscal framework outturn report: 2022: 27</w:t>
      </w:r>
      <w:r w:rsidRPr="00AC11FB">
        <w:rPr>
          <w:rFonts w:cs="Arial"/>
          <w:vertAlign w:val="superscript"/>
        </w:rPr>
        <w:t>th</w:t>
      </w:r>
      <w:r w:rsidRPr="00AC11FB">
        <w:rPr>
          <w:rFonts w:cs="Arial"/>
        </w:rPr>
        <w:t xml:space="preserve"> September 2022</w:t>
      </w:r>
      <w:r w:rsidRPr="0094234F">
        <w:rPr>
          <w:rStyle w:val="EndnoteReference"/>
          <w:rFonts w:cs="Arial"/>
        </w:rPr>
        <w:endnoteReference w:id="43"/>
      </w:r>
    </w:p>
    <w:p w14:paraId="1564674E" w14:textId="328D8529" w:rsidR="00C57B2E" w:rsidRPr="0094234F" w:rsidRDefault="00C57B2E" w:rsidP="007F17DE">
      <w:pPr>
        <w:pStyle w:val="ListParagraph"/>
        <w:numPr>
          <w:ilvl w:val="0"/>
          <w:numId w:val="16"/>
        </w:numPr>
        <w:rPr>
          <w:rFonts w:cs="Arial"/>
        </w:rPr>
      </w:pPr>
      <w:r w:rsidRPr="00AC11FB">
        <w:rPr>
          <w:rFonts w:cs="Arial"/>
        </w:rPr>
        <w:t>The Scottish Consolidated Fund Accounts for the year ended 31 March 2022: 1</w:t>
      </w:r>
      <w:r w:rsidRPr="00AC11FB">
        <w:rPr>
          <w:rFonts w:cs="Arial"/>
          <w:vertAlign w:val="superscript"/>
        </w:rPr>
        <w:t>st</w:t>
      </w:r>
      <w:r w:rsidRPr="00AC11FB">
        <w:rPr>
          <w:rFonts w:cs="Arial"/>
        </w:rPr>
        <w:t xml:space="preserve"> December 2022</w:t>
      </w:r>
      <w:r w:rsidR="00AC11FB">
        <w:rPr>
          <w:rStyle w:val="EndnoteReference"/>
          <w:rFonts w:cs="Arial"/>
        </w:rPr>
        <w:endnoteReference w:id="44"/>
      </w:r>
    </w:p>
    <w:p w14:paraId="47DBC539" w14:textId="17BEC77D" w:rsidR="00C57B2E" w:rsidRPr="0094234F" w:rsidRDefault="00C57B2E" w:rsidP="007F17DE">
      <w:pPr>
        <w:pStyle w:val="ListParagraph"/>
        <w:numPr>
          <w:ilvl w:val="0"/>
          <w:numId w:val="16"/>
        </w:numPr>
        <w:rPr>
          <w:rFonts w:cs="Arial"/>
        </w:rPr>
      </w:pPr>
      <w:r w:rsidRPr="00AC11FB">
        <w:rPr>
          <w:rFonts w:cs="Arial"/>
        </w:rPr>
        <w:t>The</w:t>
      </w:r>
      <w:r w:rsidR="00881916">
        <w:rPr>
          <w:rFonts w:cs="Arial"/>
        </w:rPr>
        <w:t xml:space="preserve"> Scottish Government</w:t>
      </w:r>
      <w:r w:rsidRPr="00AC11FB">
        <w:rPr>
          <w:rFonts w:cs="Arial"/>
        </w:rPr>
        <w:t xml:space="preserve"> Consolidated Accounts for the year ended</w:t>
      </w:r>
      <w:r w:rsidRPr="00AC11FB">
        <w:rPr>
          <w:rFonts w:cs="Arial"/>
        </w:rPr>
        <w:br/>
        <w:t>31 March 2022 : 01/12/2022</w:t>
      </w:r>
      <w:r w:rsidR="00AC11FB">
        <w:rPr>
          <w:rStyle w:val="EndnoteReference"/>
          <w:rFonts w:cs="Arial"/>
        </w:rPr>
        <w:endnoteReference w:id="45"/>
      </w:r>
    </w:p>
    <w:p w14:paraId="66B058C7" w14:textId="76B3C42A" w:rsidR="00D80DDF" w:rsidRPr="00993BD0" w:rsidRDefault="00C57B2E" w:rsidP="00993BD0">
      <w:r>
        <w:t>As</w:t>
      </w:r>
      <w:r w:rsidRPr="00C16905">
        <w:t xml:space="preserve"> the final reports </w:t>
      </w:r>
      <w:r>
        <w:t>were not</w:t>
      </w:r>
      <w:r w:rsidRPr="00C16905">
        <w:t xml:space="preserve">  published until December 2022, full points </w:t>
      </w:r>
      <w:r>
        <w:t>could not</w:t>
      </w:r>
      <w:r w:rsidRPr="00C16905">
        <w:t xml:space="preserve"> be </w:t>
      </w:r>
      <w:r>
        <w:t>awarded for the OBS Scoring for 2023. This alone would have placed Scotland in the next category for Transparency (substantial information available, rather than limited).</w:t>
      </w:r>
      <w:r w:rsidRPr="00C16905">
        <w:t xml:space="preserve"> </w:t>
      </w:r>
      <w:bookmarkStart w:id="118" w:name="_Toc163647848"/>
      <w:bookmarkStart w:id="119" w:name="_Toc167112922"/>
    </w:p>
    <w:p w14:paraId="43148C2E" w14:textId="6F95F3A1" w:rsidR="00C57B2E" w:rsidRPr="001314C0" w:rsidRDefault="00C57B2E" w:rsidP="00993BD0">
      <w:pPr>
        <w:pStyle w:val="Heading3"/>
      </w:pPr>
      <w:bookmarkStart w:id="120" w:name="_Toc167782873"/>
      <w:r w:rsidRPr="001314C0">
        <w:lastRenderedPageBreak/>
        <w:t>Audit Report</w:t>
      </w:r>
      <w:bookmarkEnd w:id="118"/>
      <w:bookmarkEnd w:id="119"/>
      <w:bookmarkEnd w:id="120"/>
      <w:r w:rsidRPr="001314C0">
        <w:t xml:space="preserve"> </w:t>
      </w:r>
    </w:p>
    <w:p w14:paraId="0652ABB6" w14:textId="77777777" w:rsidR="00C57B2E" w:rsidRDefault="00C57B2E" w:rsidP="00993BD0">
      <w:pPr>
        <w:pStyle w:val="Heading4"/>
      </w:pPr>
      <w:bookmarkStart w:id="121" w:name="_Toc167112923"/>
      <w:r>
        <w:t>What it is and why it’s important</w:t>
      </w:r>
      <w:bookmarkEnd w:id="121"/>
      <w:r>
        <w:t xml:space="preserve"> </w:t>
      </w:r>
    </w:p>
    <w:p w14:paraId="2C922748" w14:textId="60DD0F11" w:rsidR="00C57B2E" w:rsidRDefault="00C57B2E" w:rsidP="007F17DE">
      <w:r>
        <w:t xml:space="preserve">The Audit Report provides an authoritative and independent account of whether the government has accurately reported how it has generated, allocated and spent its resources during the fiscal year. It is a key element of the accountability loop, providing the legislature and the public with assurance that the government has acted lawfully and that what is has said it has done with regard to the implementation of the budget, can be believed. </w:t>
      </w:r>
    </w:p>
    <w:p w14:paraId="70AB4D9C" w14:textId="2B4818CB" w:rsidR="007F17DE" w:rsidRDefault="00C57B2E" w:rsidP="00D80DDF">
      <w:r>
        <w:t>OECD and the IMF vary with regard to best practice on the timing of the Audit report with the IMF’s Manual on Fiscal Transparency, stating that this report should be published within at least one year of the end of the period it covers (for example, if the budget year ends in March, the Year</w:t>
      </w:r>
      <w:r w:rsidR="00AC11FB">
        <w:t>-</w:t>
      </w:r>
      <w:r>
        <w:t xml:space="preserve">End Report should be published before the end of March the following year). The OECD believes that </w:t>
      </w:r>
      <w:r w:rsidR="00752492">
        <w:t xml:space="preserve">the </w:t>
      </w:r>
      <w:r>
        <w:t>Audit Report should be published within six months following the end of the budget year (for example, if the budget year ends in March, the Audit Report should be published before 30</w:t>
      </w:r>
      <w:r w:rsidR="00960CF2" w:rsidRPr="00960CF2">
        <w:rPr>
          <w:vertAlign w:val="superscript"/>
        </w:rPr>
        <w:t>th</w:t>
      </w:r>
      <w:r w:rsidR="00960CF2">
        <w:t xml:space="preserve"> </w:t>
      </w:r>
      <w:r>
        <w:t>September of the following year).</w:t>
      </w:r>
      <w:bookmarkStart w:id="122" w:name="_Toc167112924"/>
    </w:p>
    <w:p w14:paraId="700326C9" w14:textId="6CB05845" w:rsidR="00C57B2E" w:rsidRDefault="00C57B2E" w:rsidP="007F17DE">
      <w:r>
        <w:t xml:space="preserve">Table </w:t>
      </w:r>
      <w:r w:rsidR="007B247E">
        <w:t>1</w:t>
      </w:r>
      <w:r w:rsidR="00DB4D8C">
        <w:t>7</w:t>
      </w:r>
      <w:r>
        <w:t xml:space="preserve"> – Transparency in the Audit Report</w:t>
      </w:r>
      <w:r>
        <w:rPr>
          <w:rStyle w:val="EndnoteReference"/>
        </w:rPr>
        <w:endnoteReference w:id="46"/>
      </w:r>
      <w:bookmarkEnd w:id="122"/>
    </w:p>
    <w:tbl>
      <w:tblPr>
        <w:tblStyle w:val="TableGrid"/>
        <w:tblW w:w="0" w:type="auto"/>
        <w:tblLook w:val="04A0" w:firstRow="1" w:lastRow="0" w:firstColumn="1" w:lastColumn="0" w:noHBand="0" w:noVBand="1"/>
      </w:tblPr>
      <w:tblGrid>
        <w:gridCol w:w="3107"/>
        <w:gridCol w:w="3108"/>
        <w:gridCol w:w="3108"/>
      </w:tblGrid>
      <w:tr w:rsidR="003F63AC" w14:paraId="5E7E7A8F" w14:textId="77777777" w:rsidTr="00406C45">
        <w:trPr>
          <w:cantSplit/>
          <w:tblHeader/>
        </w:trPr>
        <w:tc>
          <w:tcPr>
            <w:tcW w:w="3107" w:type="dxa"/>
            <w:shd w:val="clear" w:color="auto" w:fill="8BADDC"/>
          </w:tcPr>
          <w:p w14:paraId="07ABB3A7" w14:textId="77777777" w:rsidR="003F63AC" w:rsidRPr="001A3F5B" w:rsidRDefault="003F63AC" w:rsidP="007F17DE">
            <w:pPr>
              <w:rPr>
                <w:rStyle w:val="Strong"/>
              </w:rPr>
            </w:pPr>
            <w:r w:rsidRPr="001A3F5B">
              <w:rPr>
                <w:rStyle w:val="Strong"/>
              </w:rPr>
              <w:t>Importance</w:t>
            </w:r>
          </w:p>
        </w:tc>
        <w:tc>
          <w:tcPr>
            <w:tcW w:w="3108" w:type="dxa"/>
            <w:shd w:val="clear" w:color="auto" w:fill="8BADDC"/>
          </w:tcPr>
          <w:p w14:paraId="6117D286" w14:textId="77777777" w:rsidR="003F63AC" w:rsidRPr="001A3F5B" w:rsidRDefault="003F63AC" w:rsidP="007F17DE">
            <w:pPr>
              <w:rPr>
                <w:rStyle w:val="Strong"/>
              </w:rPr>
            </w:pPr>
            <w:r w:rsidRPr="001A3F5B">
              <w:rPr>
                <w:rStyle w:val="Strong"/>
              </w:rPr>
              <w:t>Key Contents</w:t>
            </w:r>
          </w:p>
        </w:tc>
        <w:tc>
          <w:tcPr>
            <w:tcW w:w="3108" w:type="dxa"/>
            <w:shd w:val="clear" w:color="auto" w:fill="8BADDC"/>
          </w:tcPr>
          <w:p w14:paraId="69F45C1B" w14:textId="77777777" w:rsidR="003F63AC" w:rsidRPr="001A3F5B" w:rsidRDefault="003F63AC" w:rsidP="007F17DE">
            <w:pPr>
              <w:rPr>
                <w:rStyle w:val="Strong"/>
              </w:rPr>
            </w:pPr>
            <w:r w:rsidRPr="001A3F5B">
              <w:rPr>
                <w:rStyle w:val="Strong"/>
              </w:rPr>
              <w:t>Publication Time Frame</w:t>
            </w:r>
          </w:p>
        </w:tc>
      </w:tr>
      <w:tr w:rsidR="00C57B2E" w14:paraId="2A813D6B" w14:textId="77777777" w:rsidTr="00763401">
        <w:tc>
          <w:tcPr>
            <w:tcW w:w="3107" w:type="dxa"/>
          </w:tcPr>
          <w:p w14:paraId="3D70A660" w14:textId="77777777"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t xml:space="preserve">Independent and authoritative assessment of budget execution </w:t>
            </w:r>
          </w:p>
          <w:p w14:paraId="25AB86AB" w14:textId="6884FCB5"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t xml:space="preserve">Assesses </w:t>
            </w:r>
            <w:r w:rsidR="00D80DDF">
              <w:rPr>
                <w:sz w:val="28"/>
                <w:szCs w:val="28"/>
              </w:rPr>
              <w:t>t</w:t>
            </w:r>
            <w:r w:rsidRPr="00406C45">
              <w:rPr>
                <w:sz w:val="28"/>
                <w:szCs w:val="28"/>
              </w:rPr>
              <w:t xml:space="preserve">he degree to which the government </w:t>
            </w:r>
            <w:r w:rsidRPr="00406C45">
              <w:rPr>
                <w:sz w:val="28"/>
                <w:szCs w:val="28"/>
              </w:rPr>
              <w:lastRenderedPageBreak/>
              <w:t xml:space="preserve">has complied with the budget law </w:t>
            </w:r>
          </w:p>
          <w:p w14:paraId="405A2723" w14:textId="77777777"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t xml:space="preserve">Provides commentary on the accuracy and reliability of government financial statements </w:t>
            </w:r>
          </w:p>
          <w:p w14:paraId="5D9C3B76" w14:textId="77777777"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t xml:space="preserve">Closes the accountability loop </w:t>
            </w:r>
          </w:p>
          <w:p w14:paraId="4DA1FE39" w14:textId="77777777"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t>Valuable resource for legislative, civil society, and media analyses of government performance</w:t>
            </w:r>
          </w:p>
        </w:tc>
        <w:tc>
          <w:tcPr>
            <w:tcW w:w="3108" w:type="dxa"/>
          </w:tcPr>
          <w:p w14:paraId="5AA2C12C" w14:textId="50DFAA75"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lastRenderedPageBreak/>
              <w:t>Comments on the accuracy and fairness of government</w:t>
            </w:r>
            <w:r w:rsidR="00D80DDF">
              <w:rPr>
                <w:sz w:val="28"/>
                <w:szCs w:val="28"/>
              </w:rPr>
              <w:t xml:space="preserve"> </w:t>
            </w:r>
            <w:r w:rsidRPr="00406C45">
              <w:rPr>
                <w:sz w:val="28"/>
                <w:szCs w:val="28"/>
              </w:rPr>
              <w:t xml:space="preserve">financial statements </w:t>
            </w:r>
          </w:p>
          <w:p w14:paraId="30D9A77A" w14:textId="77777777"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lastRenderedPageBreak/>
              <w:t xml:space="preserve">Comments on the adequacy of government’s control systems for managing public finances </w:t>
            </w:r>
          </w:p>
          <w:p w14:paraId="28FABBC7" w14:textId="77777777"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t xml:space="preserve">Identifies cases in which the government has breached the budget and other related laws on public finances </w:t>
            </w:r>
          </w:p>
          <w:p w14:paraId="36028D92" w14:textId="77777777"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t xml:space="preserve">Provides the SAI’s opinion (qualified, unqualified, disclaimer, etc.) on the accounts audited </w:t>
            </w:r>
          </w:p>
          <w:p w14:paraId="1AFDF06F" w14:textId="77777777"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t xml:space="preserve">Lists recommendations for rectifying problems identified by audit </w:t>
            </w:r>
          </w:p>
          <w:p w14:paraId="1AFD965D" w14:textId="77777777"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t>Tracks status of previous audit recommendations</w:t>
            </w:r>
          </w:p>
        </w:tc>
        <w:tc>
          <w:tcPr>
            <w:tcW w:w="3108" w:type="dxa"/>
          </w:tcPr>
          <w:p w14:paraId="0D7E1E91" w14:textId="77777777"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lastRenderedPageBreak/>
              <w:t xml:space="preserve">Best practice as per the OECD is publication within six months of the end of the budget year </w:t>
            </w:r>
          </w:p>
          <w:p w14:paraId="3A675DAB" w14:textId="77777777" w:rsidR="00C57B2E" w:rsidRPr="00406C45" w:rsidRDefault="00C57B2E" w:rsidP="007F17DE">
            <w:pPr>
              <w:pStyle w:val="TableNormal1"/>
              <w:numPr>
                <w:ilvl w:val="0"/>
                <w:numId w:val="28"/>
              </w:numPr>
              <w:spacing w:before="240" w:after="240" w:line="276" w:lineRule="auto"/>
              <w:ind w:left="454"/>
              <w:rPr>
                <w:sz w:val="28"/>
                <w:szCs w:val="28"/>
              </w:rPr>
            </w:pPr>
            <w:r w:rsidRPr="00406C45">
              <w:rPr>
                <w:sz w:val="28"/>
                <w:szCs w:val="28"/>
              </w:rPr>
              <w:lastRenderedPageBreak/>
              <w:t>IMF recommends publication within at least one year of the end of the reporting period</w:t>
            </w:r>
          </w:p>
        </w:tc>
      </w:tr>
    </w:tbl>
    <w:p w14:paraId="3B1DF29C" w14:textId="77777777" w:rsidR="00C57B2E" w:rsidRDefault="00C57B2E" w:rsidP="007F17DE"/>
    <w:p w14:paraId="06F1221E" w14:textId="77777777" w:rsidR="00C57B2E" w:rsidRDefault="00C57B2E" w:rsidP="00993BD0">
      <w:pPr>
        <w:pStyle w:val="Heading4"/>
      </w:pPr>
      <w:bookmarkStart w:id="123" w:name="_Toc167112925"/>
      <w:r>
        <w:lastRenderedPageBreak/>
        <w:t>Scotland’s Audit Report</w:t>
      </w:r>
      <w:bookmarkEnd w:id="123"/>
      <w:r>
        <w:t xml:space="preserve"> </w:t>
      </w:r>
    </w:p>
    <w:p w14:paraId="368D7E99" w14:textId="16875271" w:rsidR="005F2C21" w:rsidRDefault="00C57B2E" w:rsidP="005F2C21">
      <w:r>
        <w:t xml:space="preserve">In Scotland, the Audit Report is Audit Scotland’s annual audit of the final consolidated accounts for the fiscal </w:t>
      </w:r>
      <w:r w:rsidR="00960CF2">
        <w:t>year,</w:t>
      </w:r>
      <w:r>
        <w:t xml:space="preserve"> and this is usually published around six-seven months after the end of the budget year. In the previous review (and for most budget year</w:t>
      </w:r>
      <w:r w:rsidR="00960CF2">
        <w:t>s</w:t>
      </w:r>
      <w:r>
        <w:t>) t</w:t>
      </w:r>
      <w:r w:rsidRPr="00C16905">
        <w:t xml:space="preserve">he audit report </w:t>
      </w:r>
      <w:r w:rsidR="00960CF2">
        <w:t>is</w:t>
      </w:r>
      <w:r w:rsidR="00960CF2" w:rsidRPr="00C16905">
        <w:t xml:space="preserve"> </w:t>
      </w:r>
      <w:r w:rsidR="00960CF2">
        <w:t xml:space="preserve">published </w:t>
      </w:r>
      <w:r w:rsidRPr="00C16905">
        <w:t>about 6 months after the end of the budget year. For the 2021/2022 budget</w:t>
      </w:r>
      <w:r>
        <w:t>, however,</w:t>
      </w:r>
      <w:r w:rsidRPr="00C16905">
        <w:t xml:space="preserve"> the audit report came out on the 1st of December 2022, well beyond the 6 month date so full points could not be awarded. </w:t>
      </w:r>
      <w:r>
        <w:t>This is a timeline anomaly in standard practice due to COVID.</w:t>
      </w:r>
    </w:p>
    <w:p w14:paraId="7B82BDAE" w14:textId="77777777" w:rsidR="005F2C21" w:rsidRDefault="005F2C21">
      <w:pPr>
        <w:spacing w:before="0" w:after="0" w:line="360" w:lineRule="auto"/>
      </w:pPr>
      <w:r>
        <w:br w:type="page"/>
      </w:r>
    </w:p>
    <w:p w14:paraId="1F594F4A" w14:textId="3BEE6B1C" w:rsidR="005F2C21" w:rsidRDefault="005F2C21" w:rsidP="005F2C21">
      <w:pPr>
        <w:pStyle w:val="Heading2"/>
      </w:pPr>
      <w:bookmarkStart w:id="124" w:name="_Toc167782874"/>
      <w:r>
        <w:lastRenderedPageBreak/>
        <w:t>Appendix 3 – Key Building blocks for the budget progress not reflected in OBS 2023</w:t>
      </w:r>
      <w:bookmarkEnd w:id="124"/>
    </w:p>
    <w:p w14:paraId="30479A47" w14:textId="60727B83" w:rsidR="00E61F70" w:rsidRDefault="00E61F70" w:rsidP="007F17DE">
      <w:r>
        <w:t>The OBS examines the budget process over a full budget cycle (for budget 2021-22 this ends with policy and practice as of 31</w:t>
      </w:r>
      <w:r w:rsidRPr="00E61F70">
        <w:rPr>
          <w:vertAlign w:val="superscript"/>
        </w:rPr>
        <w:t>st</w:t>
      </w:r>
      <w:r>
        <w:t xml:space="preserve"> December 2022). During the 16 months between the end of the budget year and the publication of the </w:t>
      </w:r>
      <w:r w:rsidR="00960CF2">
        <w:t>g</w:t>
      </w:r>
      <w:r>
        <w:t>lobal results</w:t>
      </w:r>
      <w:r w:rsidR="00CB6D2D">
        <w:t xml:space="preserve"> (the assessment and report drafting stage)</w:t>
      </w:r>
      <w:r>
        <w:t>, progress and improvements have continued to be made</w:t>
      </w:r>
      <w:r w:rsidR="00CB6D2D">
        <w:t xml:space="preserve"> to the Scottish budget process</w:t>
      </w:r>
      <w:r>
        <w:t>. The information in this Appendix provides the development conte</w:t>
      </w:r>
      <w:r w:rsidR="00752492">
        <w:t>x</w:t>
      </w:r>
      <w:r>
        <w:t>t within which the recommendations of this report lie.</w:t>
      </w:r>
    </w:p>
    <w:p w14:paraId="6778B02D" w14:textId="0CF7C3B4" w:rsidR="00FC3B7D" w:rsidRDefault="00CB6D2D" w:rsidP="007F17DE">
      <w:r>
        <w:t xml:space="preserve">In </w:t>
      </w:r>
      <w:r w:rsidR="00FC3B7D">
        <w:t>2018</w:t>
      </w:r>
      <w:r w:rsidR="00960CF2">
        <w:t>,</w:t>
      </w:r>
      <w:r w:rsidR="00FC3B7D">
        <w:t xml:space="preserve"> the</w:t>
      </w:r>
      <w:r w:rsidR="00881916">
        <w:t xml:space="preserve"> Scottish Government</w:t>
      </w:r>
      <w:r w:rsidR="00FC3B7D">
        <w:t xml:space="preserve"> introduced its first Medium</w:t>
      </w:r>
      <w:r w:rsidR="00AC11FB">
        <w:t>-</w:t>
      </w:r>
      <w:r w:rsidR="00FC3B7D">
        <w:t>Term Financial Strategy (MTFS) which sets out the government</w:t>
      </w:r>
      <w:r w:rsidR="00FC3B7D" w:rsidRPr="004E4987">
        <w:t>’s financial plans and priorities over the next five years</w:t>
      </w:r>
      <w:r w:rsidR="00FC3B7D">
        <w:t xml:space="preserve">. It </w:t>
      </w:r>
      <w:r w:rsidR="00FC3B7D" w:rsidRPr="004E4987">
        <w:t>aims to provide a framework for fiscal decisions, resource</w:t>
      </w:r>
      <w:r w:rsidR="00FC3B7D">
        <w:t xml:space="preserve"> generation,</w:t>
      </w:r>
      <w:r w:rsidR="00FC3B7D" w:rsidRPr="004E4987">
        <w:t xml:space="preserve"> allocation, and</w:t>
      </w:r>
      <w:r w:rsidR="00FC3B7D">
        <w:t xml:space="preserve"> spend, whilst taking into account</w:t>
      </w:r>
      <w:r w:rsidR="00FC3B7D" w:rsidRPr="004E4987">
        <w:t xml:space="preserve"> factors such as economic forecasts, revenue projections, spending priorities, and the government’s policy objectives</w:t>
      </w:r>
      <w:r w:rsidR="00FC3B7D">
        <w:rPr>
          <w:rStyle w:val="EndnoteReference"/>
        </w:rPr>
        <w:endnoteReference w:id="47"/>
      </w:r>
      <w:r w:rsidR="00FC3B7D" w:rsidRPr="004E4987">
        <w:t xml:space="preserve">. The </w:t>
      </w:r>
      <w:r w:rsidR="00FC3B7D">
        <w:t>M</w:t>
      </w:r>
      <w:r w:rsidR="00AC11FB">
        <w:t>T</w:t>
      </w:r>
      <w:r w:rsidR="00FC3B7D">
        <w:t>FS</w:t>
      </w:r>
      <w:r w:rsidR="00FC3B7D" w:rsidRPr="004E4987">
        <w:t xml:space="preserve"> </w:t>
      </w:r>
      <w:r w:rsidR="00FC3B7D">
        <w:t>reflected</w:t>
      </w:r>
      <w:r w:rsidR="00FC3B7D" w:rsidRPr="004E4987">
        <w:t xml:space="preserve"> a key part of the revised Parliamentary budget process that </w:t>
      </w:r>
      <w:r w:rsidR="00FC3B7D">
        <w:t>arose from</w:t>
      </w:r>
      <w:r w:rsidR="00FC3B7D" w:rsidRPr="004E4987">
        <w:t xml:space="preserve"> the Budget Process Review Group</w:t>
      </w:r>
      <w:r w:rsidR="00FC3B7D">
        <w:t xml:space="preserve"> recommendations in 2017</w:t>
      </w:r>
      <w:r w:rsidR="00AC11FB">
        <w:rPr>
          <w:rStyle w:val="EndnoteReference"/>
          <w:sz w:val="16"/>
          <w:szCs w:val="16"/>
          <w:lang w:val="x-none"/>
        </w:rPr>
        <w:endnoteReference w:id="48"/>
      </w:r>
      <w:r w:rsidR="00FC3B7D">
        <w:t>.</w:t>
      </w:r>
    </w:p>
    <w:p w14:paraId="1C0BAC28" w14:textId="22F92EDA" w:rsidR="00FC3B7D" w:rsidRDefault="00FC3B7D" w:rsidP="007F17DE">
      <w:r>
        <w:t xml:space="preserve">Early versions of </w:t>
      </w:r>
      <w:r w:rsidR="00A5182D">
        <w:t>the MTFS</w:t>
      </w:r>
      <w:r>
        <w:t xml:space="preserve"> document have presented possible fiscal challenges, without fully engaging with what decisions may be required in response. The most recent MTFS (</w:t>
      </w:r>
      <w:r w:rsidRPr="00AC11FB">
        <w:t>May 2023</w:t>
      </w:r>
      <w:r w:rsidR="00AC11FB">
        <w:rPr>
          <w:rStyle w:val="EndnoteReference"/>
        </w:rPr>
        <w:endnoteReference w:id="49"/>
      </w:r>
      <w:r>
        <w:t xml:space="preserve">) did attempt to explore options to tackle the budgetary challenges facing Scotland. The MTFS now provides clear signals around the context for the budget to come, </w:t>
      </w:r>
      <w:r w:rsidR="00960CF2">
        <w:t xml:space="preserve">and </w:t>
      </w:r>
      <w:r>
        <w:t>with further development, this document could provide the necessary information to be considered a pre-budget statement. This would require more detailed information on broad sectoral allocations, and descriptions and costings for new policy measures. It would also require a publication date</w:t>
      </w:r>
      <w:r w:rsidR="00960CF2">
        <w:t>, ideally</w:t>
      </w:r>
      <w:r>
        <w:t xml:space="preserve"> in the fourth or fifth month of the previous budget year, but at least one month before publication of the Executive’s Budget Proposal</w:t>
      </w:r>
      <w:r>
        <w:rPr>
          <w:rStyle w:val="EndnoteReference"/>
        </w:rPr>
        <w:endnoteReference w:id="50"/>
      </w:r>
      <w:r>
        <w:t xml:space="preserve">. This is something that would also fit with </w:t>
      </w:r>
      <w:r w:rsidRPr="00516E58">
        <w:t>the recommendations from</w:t>
      </w:r>
      <w:r w:rsidR="00AC11FB">
        <w:t xml:space="preserve"> the Budget Process Review Group</w:t>
      </w:r>
      <w:r w:rsidR="00AC11FB">
        <w:rPr>
          <w:rStyle w:val="EndnoteReference"/>
        </w:rPr>
        <w:t xml:space="preserve"> </w:t>
      </w:r>
      <w:r>
        <w:rPr>
          <w:rStyle w:val="EndnoteReference"/>
        </w:rPr>
        <w:endnoteReference w:id="51"/>
      </w:r>
      <w:r w:rsidRPr="00516E58">
        <w:t xml:space="preserve"> </w:t>
      </w:r>
      <w:r>
        <w:t>in 2017, which</w:t>
      </w:r>
      <w:r w:rsidRPr="00516E58">
        <w:t xml:space="preserve"> established the pre-budget scrutiny stage in the budget process</w:t>
      </w:r>
      <w:r>
        <w:t>.</w:t>
      </w:r>
    </w:p>
    <w:p w14:paraId="06D82D09" w14:textId="4C872801" w:rsidR="00FC3B7D" w:rsidRDefault="00FC3B7D" w:rsidP="007F17DE">
      <w:r>
        <w:lastRenderedPageBreak/>
        <w:t xml:space="preserve">In 2021, the Scottish Exchequer undertook a Discovery project on fiscal transparency in response to a </w:t>
      </w:r>
      <w:r w:rsidRPr="00F2322D">
        <w:t>recognition by the</w:t>
      </w:r>
      <w:r w:rsidR="00881916">
        <w:t xml:space="preserve"> Scottish Government</w:t>
      </w:r>
      <w:r w:rsidRPr="00F2322D">
        <w:t xml:space="preserve"> that the </w:t>
      </w:r>
      <w:r>
        <w:t>way</w:t>
      </w:r>
      <w:r w:rsidRPr="00F2322D">
        <w:t xml:space="preserve"> fiscal information </w:t>
      </w:r>
      <w:r>
        <w:t>wa</w:t>
      </w:r>
      <w:r w:rsidRPr="00F2322D">
        <w:t>s</w:t>
      </w:r>
      <w:r>
        <w:t xml:space="preserve"> presented was</w:t>
      </w:r>
      <w:r w:rsidRPr="00F2322D">
        <w:t xml:space="preserve"> not easily accessible or presented in a way that me</w:t>
      </w:r>
      <w:r>
        <w:t>t</w:t>
      </w:r>
      <w:r w:rsidRPr="00F2322D">
        <w:t xml:space="preserve"> most users’ needs</w:t>
      </w:r>
      <w:r>
        <w:t xml:space="preserve">. It found that fiscal information was scattered, documents inflexible, data inconsistent, timelines disjointed, </w:t>
      </w:r>
      <w:r w:rsidR="00881916">
        <w:t xml:space="preserve">and </w:t>
      </w:r>
      <w:r>
        <w:t>processes opaque</w:t>
      </w:r>
      <w:r w:rsidR="00881916">
        <w:t>,</w:t>
      </w:r>
      <w:r>
        <w:t xml:space="preserve"> and </w:t>
      </w:r>
      <w:r w:rsidR="00881916">
        <w:t xml:space="preserve">as a result, </w:t>
      </w:r>
      <w:r>
        <w:t>fiscal conversations were exclusionary.</w:t>
      </w:r>
    </w:p>
    <w:p w14:paraId="2E447615" w14:textId="77777777" w:rsidR="00FC3B7D" w:rsidRDefault="00FC3B7D" w:rsidP="007F17DE">
      <w:r>
        <w:t>The result of this Discovery project was a commitment to a 5-year action plan which aimed to:</w:t>
      </w:r>
    </w:p>
    <w:p w14:paraId="1372C5DE" w14:textId="14D2CE04" w:rsidR="00FC3B7D" w:rsidRDefault="00FC3B7D" w:rsidP="00D80DDF">
      <w:pPr>
        <w:pStyle w:val="Bulletted"/>
      </w:pPr>
      <w:r>
        <w:t>Provide comprehensive, accurate, up-to-date and linked fiscal information that can be trusted</w:t>
      </w:r>
    </w:p>
    <w:p w14:paraId="351D9F01" w14:textId="763637E8" w:rsidR="00FC3B7D" w:rsidRDefault="00FC3B7D" w:rsidP="00D80DDF">
      <w:pPr>
        <w:pStyle w:val="Bulletted"/>
      </w:pPr>
      <w:r>
        <w:t>Present accessible, useable and understandable fiscal information to a wide range of users, including the general public</w:t>
      </w:r>
    </w:p>
    <w:p w14:paraId="4C69BC89" w14:textId="190BB1ED" w:rsidR="00FC3B7D" w:rsidRDefault="00FC3B7D" w:rsidP="00D80DDF">
      <w:pPr>
        <w:pStyle w:val="Bulletted"/>
      </w:pPr>
      <w:r>
        <w:t>Have open fiscal data that people can easily re-use</w:t>
      </w:r>
    </w:p>
    <w:p w14:paraId="0F729F13" w14:textId="77777777" w:rsidR="00FC3B7D" w:rsidRDefault="00FC3B7D" w:rsidP="007F17DE">
      <w:r>
        <w:t>This project could support noted improvements in Scotland’s future OBS transparency score.</w:t>
      </w:r>
    </w:p>
    <w:p w14:paraId="3B4D646F" w14:textId="75F746C7" w:rsidR="00FC3B7D" w:rsidRDefault="00FC3B7D" w:rsidP="007F17DE">
      <w:r>
        <w:t>The</w:t>
      </w:r>
      <w:r w:rsidR="00881916">
        <w:t xml:space="preserve"> Scottish Government</w:t>
      </w:r>
      <w:r>
        <w:t xml:space="preserve"> is continuing to explore how it can improve fiscal transparency, and public participation in budgets through its third </w:t>
      </w:r>
      <w:r w:rsidRPr="00AC11FB">
        <w:t>Open Government Action Plan: 2021-2025</w:t>
      </w:r>
      <w:r>
        <w:rPr>
          <w:rStyle w:val="EndnoteReference"/>
        </w:rPr>
        <w:endnoteReference w:id="52"/>
      </w:r>
      <w:r>
        <w:t>.</w:t>
      </w:r>
    </w:p>
    <w:p w14:paraId="2312C992" w14:textId="77777777" w:rsidR="00FC3B7D" w:rsidRDefault="00FC3B7D" w:rsidP="007F17DE">
      <w:r>
        <w:t>The Open Government Action Plan 2021 to 2025 (OGAP) - commitment 1: fiscal openness and transparency</w:t>
      </w:r>
      <w:r>
        <w:rPr>
          <w:rStyle w:val="EndnoteReference"/>
        </w:rPr>
        <w:endnoteReference w:id="53"/>
      </w:r>
      <w:r>
        <w:t xml:space="preserve"> aims to</w:t>
      </w:r>
      <w:r w:rsidRPr="000F1540">
        <w:t xml:space="preserve"> improv</w:t>
      </w:r>
      <w:r>
        <w:t>e</w:t>
      </w:r>
      <w:r w:rsidRPr="000F1540">
        <w:t xml:space="preserve"> the accessibility and usability of </w:t>
      </w:r>
      <w:r>
        <w:t>Scotland’s</w:t>
      </w:r>
      <w:r w:rsidRPr="000F1540">
        <w:t xml:space="preserve"> data and information about public finances.</w:t>
      </w:r>
      <w:r>
        <w:t xml:space="preserve"> One of its milestone aims is to benchmark the current state of fiscal openness and transparency, in order to establish an approach to </w:t>
      </w:r>
      <w:r w:rsidRPr="000F1540">
        <w:t>address progress of fiscal openness and transparency, moving towards international best practices of transparency and data standards.</w:t>
      </w:r>
      <w:r>
        <w:t xml:space="preserve"> </w:t>
      </w:r>
    </w:p>
    <w:p w14:paraId="22CBB850" w14:textId="2A633F99" w:rsidR="00FC3B7D" w:rsidRPr="000F1540" w:rsidRDefault="00FC3B7D" w:rsidP="007F17DE">
      <w:r>
        <w:t xml:space="preserve">To achieve this milestone the OGAP set out to </w:t>
      </w:r>
      <w:r>
        <w:rPr>
          <w:shd w:val="clear" w:color="auto" w:fill="FFFFFF"/>
        </w:rPr>
        <w:t xml:space="preserve">scope additional benchmarking against elements of the Open Budget </w:t>
      </w:r>
      <w:r w:rsidR="00CA3D59">
        <w:rPr>
          <w:shd w:val="clear" w:color="auto" w:fill="FFFFFF"/>
        </w:rPr>
        <w:t>Survey</w:t>
      </w:r>
      <w:r>
        <w:rPr>
          <w:shd w:val="clear" w:color="auto" w:fill="FFFFFF"/>
        </w:rPr>
        <w:t>, through engagement with the Commission on OBS 2023.  The</w:t>
      </w:r>
      <w:r w:rsidR="00881916">
        <w:rPr>
          <w:shd w:val="clear" w:color="auto" w:fill="FFFFFF"/>
        </w:rPr>
        <w:t xml:space="preserve"> Scottish </w:t>
      </w:r>
      <w:r w:rsidR="00881916">
        <w:rPr>
          <w:shd w:val="clear" w:color="auto" w:fill="FFFFFF"/>
        </w:rPr>
        <w:lastRenderedPageBreak/>
        <w:t>Government</w:t>
      </w:r>
      <w:r>
        <w:rPr>
          <w:shd w:val="clear" w:color="auto" w:fill="FFFFFF"/>
        </w:rPr>
        <w:t xml:space="preserve"> have also reconfirmed this commitment within its </w:t>
      </w:r>
      <w:r>
        <w:t xml:space="preserve">response to the Equality and Human Rights Budget Advisory Group’s (EHRBAG) </w:t>
      </w:r>
      <w:r w:rsidRPr="00AC11FB">
        <w:t>recommendations</w:t>
      </w:r>
      <w:r>
        <w:rPr>
          <w:rStyle w:val="EndnoteReference"/>
        </w:rPr>
        <w:endnoteReference w:id="54"/>
      </w:r>
      <w:r>
        <w:t>.</w:t>
      </w:r>
    </w:p>
    <w:p w14:paraId="7C6A9978" w14:textId="3F25BA47" w:rsidR="00FC3B7D" w:rsidRDefault="00FC3B7D" w:rsidP="007F17DE">
      <w:r>
        <w:t xml:space="preserve">EHRBAG (of which the Commission is a member) set out its recommendations in the 2021 publication: </w:t>
      </w:r>
      <w:r w:rsidRPr="00881916">
        <w:rPr>
          <w:i/>
          <w:iCs/>
        </w:rPr>
        <w:t>Recommendations for equality and human rights budgeting – 2021-2026 parliamentary session</w:t>
      </w:r>
      <w:r>
        <w:rPr>
          <w:rStyle w:val="EndnoteReference"/>
        </w:rPr>
        <w:endnoteReference w:id="55"/>
      </w:r>
      <w:r>
        <w:t xml:space="preserve">. The recommendations </w:t>
      </w:r>
      <w:r w:rsidRPr="00FE1DB8">
        <w:t>focused on</w:t>
      </w:r>
      <w:r>
        <w:t xml:space="preserve"> four </w:t>
      </w:r>
      <w:r w:rsidR="00881916">
        <w:t>areas, improving</w:t>
      </w:r>
      <w:r>
        <w:t>:</w:t>
      </w:r>
      <w:r w:rsidRPr="00FE1DB8">
        <w:t xml:space="preserve"> </w:t>
      </w:r>
    </w:p>
    <w:p w14:paraId="208E8A94" w14:textId="256814BB" w:rsidR="00FC3B7D" w:rsidRDefault="00FC3B7D" w:rsidP="00D80DDF">
      <w:pPr>
        <w:pStyle w:val="Bulletted"/>
      </w:pPr>
      <w:r w:rsidRPr="00FE1DB8">
        <w:t>process</w:t>
      </w:r>
      <w:r>
        <w:t>es</w:t>
      </w:r>
    </w:p>
    <w:p w14:paraId="17671E85" w14:textId="24F002BB" w:rsidR="00FC3B7D" w:rsidRDefault="00881916" w:rsidP="00D80DDF">
      <w:pPr>
        <w:pStyle w:val="Bulletted"/>
      </w:pPr>
      <w:r>
        <w:t>c</w:t>
      </w:r>
      <w:r w:rsidR="00FC3B7D" w:rsidRPr="00FE1DB8">
        <w:t>ommunications</w:t>
      </w:r>
    </w:p>
    <w:p w14:paraId="6A0A841E" w14:textId="26A58DA3" w:rsidR="00FC3B7D" w:rsidRDefault="00881916" w:rsidP="00D80DDF">
      <w:pPr>
        <w:pStyle w:val="Bulletted"/>
      </w:pPr>
      <w:r>
        <w:t>o</w:t>
      </w:r>
      <w:r w:rsidR="00FC3B7D" w:rsidRPr="00FE1DB8">
        <w:t xml:space="preserve">rganisation and culture </w:t>
      </w:r>
    </w:p>
    <w:p w14:paraId="307B6EC2" w14:textId="3837678E" w:rsidR="00FC3B7D" w:rsidRPr="00FE1DB8" w:rsidRDefault="00881916" w:rsidP="00D80DDF">
      <w:pPr>
        <w:pStyle w:val="Bulletted"/>
      </w:pPr>
      <w:r>
        <w:t>k</w:t>
      </w:r>
      <w:r w:rsidR="00FC3B7D" w:rsidRPr="00FE1DB8">
        <w:t>nowledge and understanding</w:t>
      </w:r>
      <w:r w:rsidR="00752492">
        <w:t>.</w:t>
      </w:r>
    </w:p>
    <w:p w14:paraId="0A54C59F" w14:textId="3C8B9B70" w:rsidR="00FC3B7D" w:rsidRDefault="00FC3B7D" w:rsidP="007F17DE">
      <w:r>
        <w:t>The</w:t>
      </w:r>
      <w:r w:rsidR="00881916">
        <w:t xml:space="preserve"> Scottish Government</w:t>
      </w:r>
      <w:r>
        <w:t xml:space="preserve"> responded to these recommendations in September 2023, presenting responses to each recommendation, and an action plan for those recommendations it plans to take forward.</w:t>
      </w:r>
    </w:p>
    <w:p w14:paraId="712E20A0" w14:textId="408C750C" w:rsidR="00FC3B7D" w:rsidRDefault="00FC3B7D" w:rsidP="007F17DE">
      <w:r>
        <w:t>To inform the development of the 2024-2025 budget, for the first time, Ministers came together at a workshop on the Equality and Fairer Scotland Budget Statement, to collectively discuss the equality and socioeconomic impacts of budget decisions. This collective discussion was an important change in how the government plan to embed equality and human rights in budget decision making.</w:t>
      </w:r>
    </w:p>
    <w:p w14:paraId="11A69F5A" w14:textId="39B42D5A" w:rsidR="00FC3B7D" w:rsidRDefault="00FC3B7D" w:rsidP="007F17DE">
      <w:r>
        <w:t xml:space="preserve">A further important development for the 2024-25 budget year is the alignment of the </w:t>
      </w:r>
      <w:r w:rsidR="00881916">
        <w:t>“</w:t>
      </w:r>
      <w:r>
        <w:t>Programme for Government</w:t>
      </w:r>
      <w:r w:rsidR="00881916">
        <w:t>”</w:t>
      </w:r>
      <w:r>
        <w:t xml:space="preserve"> (PFG) and budget equality assurance process. A future enhancement that would significantly support this process would be if </w:t>
      </w:r>
      <w:r w:rsidR="00881916">
        <w:t>The Scottish Government</w:t>
      </w:r>
      <w:r w:rsidR="00EA7BC7">
        <w:t xml:space="preserve"> </w:t>
      </w:r>
      <w:r>
        <w:t>were to impact assess the PFG to help direct spend appropriately. This way, policy directly feeds into the process of budget allocation and the budget then becomes about deployment and change which can be connected to a performance statement. This could then help to inform a pre-budget statement.</w:t>
      </w:r>
    </w:p>
    <w:p w14:paraId="5384DE76" w14:textId="4D02F7B2" w:rsidR="00552DBD" w:rsidRDefault="00553DB9" w:rsidP="00881916">
      <w:pPr>
        <w:pStyle w:val="Heading2"/>
      </w:pPr>
      <w:bookmarkStart w:id="125" w:name="_Toc167112823"/>
      <w:bookmarkStart w:id="126" w:name="_Toc167112927"/>
      <w:bookmarkStart w:id="127" w:name="_Toc167782875"/>
      <w:r>
        <w:lastRenderedPageBreak/>
        <w:t>Endnotes</w:t>
      </w:r>
      <w:bookmarkEnd w:id="125"/>
      <w:bookmarkEnd w:id="126"/>
      <w:bookmarkEnd w:id="127"/>
    </w:p>
    <w:sectPr w:rsidR="00552DBD" w:rsidSect="0033343E">
      <w:headerReference w:type="default" r:id="rId10"/>
      <w:footerReference w:type="default" r:id="rId11"/>
      <w:headerReference w:type="first" r:id="rId12"/>
      <w:footerReference w:type="first" r:id="rId13"/>
      <w:endnotePr>
        <w:numFmt w:val="decimal"/>
      </w:endnotePr>
      <w:pgSz w:w="11906" w:h="16838" w:code="9"/>
      <w:pgMar w:top="1440" w:right="1133" w:bottom="1135"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72F93" w14:textId="77777777" w:rsidR="00513519" w:rsidRDefault="00513519" w:rsidP="003D1E2D">
      <w:r>
        <w:separator/>
      </w:r>
    </w:p>
  </w:endnote>
  <w:endnote w:type="continuationSeparator" w:id="0">
    <w:p w14:paraId="7E7BE679" w14:textId="77777777" w:rsidR="00513519" w:rsidRDefault="00513519" w:rsidP="003D1E2D">
      <w:r>
        <w:continuationSeparator/>
      </w:r>
    </w:p>
  </w:endnote>
  <w:endnote w:type="continuationNotice" w:id="1">
    <w:p w14:paraId="7547B4DD" w14:textId="77777777" w:rsidR="00513519" w:rsidRDefault="00513519">
      <w:pPr>
        <w:spacing w:before="0" w:after="0" w:line="240" w:lineRule="auto"/>
      </w:pPr>
    </w:p>
  </w:endnote>
  <w:endnote w:id="2">
    <w:p w14:paraId="5F8FD6C7" w14:textId="57B28E01" w:rsidR="004759CF" w:rsidRPr="00D62401" w:rsidRDefault="004759CF" w:rsidP="006C27D0">
      <w:pPr>
        <w:pStyle w:val="footnote"/>
        <w:rPr>
          <w:rFonts w:cs="Arial"/>
          <w:sz w:val="24"/>
          <w:szCs w:val="24"/>
        </w:rPr>
      </w:pPr>
      <w:r w:rsidRPr="00D62401">
        <w:rPr>
          <w:rStyle w:val="EndnoteReference"/>
          <w:rFonts w:cs="Arial"/>
          <w:sz w:val="24"/>
          <w:szCs w:val="24"/>
        </w:rPr>
        <w:endnoteRef/>
      </w:r>
      <w:r w:rsidRPr="00D62401">
        <w:rPr>
          <w:rFonts w:cs="Arial"/>
          <w:sz w:val="24"/>
          <w:szCs w:val="24"/>
        </w:rPr>
        <w:t xml:space="preserve"> </w:t>
      </w:r>
      <w:r w:rsidR="006C27D0" w:rsidRPr="00D62401">
        <w:rPr>
          <w:rFonts w:cs="Arial"/>
          <w:sz w:val="24"/>
          <w:szCs w:val="24"/>
        </w:rPr>
        <w:t xml:space="preserve">The Human Rights budget Working Group includes: </w:t>
      </w:r>
      <w:hyperlink r:id="rId1" w:history="1">
        <w:r w:rsidR="006C27D0" w:rsidRPr="00D62401">
          <w:rPr>
            <w:rStyle w:val="Hyperlink"/>
            <w:rFonts w:cs="Arial"/>
            <w:sz w:val="24"/>
            <w:szCs w:val="24"/>
            <w:lang w:val="en"/>
          </w:rPr>
          <w:t>Dr. Alison Hosie</w:t>
        </w:r>
      </w:hyperlink>
      <w:r w:rsidR="006C27D0" w:rsidRPr="00D62401">
        <w:rPr>
          <w:rStyle w:val="Hyperlink"/>
          <w:rFonts w:cs="Arial"/>
          <w:sz w:val="24"/>
          <w:szCs w:val="24"/>
          <w:lang w:val="en"/>
        </w:rPr>
        <w:t xml:space="preserve"> </w:t>
      </w:r>
      <w:r w:rsidR="006C27D0" w:rsidRPr="00D62401">
        <w:rPr>
          <w:rFonts w:cs="Arial"/>
          <w:sz w:val="24"/>
          <w:szCs w:val="24"/>
        </w:rPr>
        <w:t xml:space="preserve">Research Officer at Scottish Human Rights Commission; </w:t>
      </w:r>
      <w:hyperlink r:id="rId2" w:history="1">
        <w:r w:rsidR="006C27D0" w:rsidRPr="00D62401">
          <w:rPr>
            <w:rStyle w:val="Hyperlink"/>
            <w:rFonts w:cs="Arial"/>
            <w:sz w:val="24"/>
            <w:szCs w:val="24"/>
          </w:rPr>
          <w:t xml:space="preserve">Prof. Angela O’Hagan </w:t>
        </w:r>
      </w:hyperlink>
      <w:r w:rsidR="006C27D0" w:rsidRPr="00D62401">
        <w:rPr>
          <w:rFonts w:cs="Arial"/>
          <w:sz w:val="24"/>
          <w:szCs w:val="24"/>
        </w:rPr>
        <w:t xml:space="preserve">Reader at the Department of Social Sciences, Deputy Director of the WISE Centre for Economic Justice, Glasgow Caledonian University. </w:t>
      </w:r>
      <w:r w:rsidR="009D2172">
        <w:rPr>
          <w:rFonts w:cs="Arial"/>
          <w:sz w:val="24"/>
          <w:szCs w:val="24"/>
        </w:rPr>
        <w:t xml:space="preserve">Incoming </w:t>
      </w:r>
      <w:r w:rsidR="006C27D0" w:rsidRPr="00D62401">
        <w:rPr>
          <w:rFonts w:cs="Arial"/>
          <w:sz w:val="24"/>
          <w:szCs w:val="24"/>
        </w:rPr>
        <w:t>Chair, Scottish Human Rights Commission. </w:t>
      </w:r>
      <w:hyperlink r:id="rId3" w:history="1">
        <w:r w:rsidR="006C27D0" w:rsidRPr="00D62401">
          <w:rPr>
            <w:rStyle w:val="Hyperlink"/>
            <w:rFonts w:cs="Arial"/>
            <w:sz w:val="24"/>
            <w:szCs w:val="24"/>
          </w:rPr>
          <w:t>Lucy Mulvagh</w:t>
        </w:r>
      </w:hyperlink>
      <w:r w:rsidR="006C27D0" w:rsidRPr="00D62401">
        <w:rPr>
          <w:rStyle w:val="Hyperlink"/>
          <w:rFonts w:cs="Arial"/>
          <w:sz w:val="24"/>
          <w:szCs w:val="24"/>
        </w:rPr>
        <w:t xml:space="preserve">, </w:t>
      </w:r>
      <w:r w:rsidR="006C27D0" w:rsidRPr="00D62401">
        <w:rPr>
          <w:rFonts w:cs="Arial"/>
          <w:sz w:val="24"/>
          <w:szCs w:val="24"/>
          <w:lang w:eastAsia="en-GB"/>
        </w:rPr>
        <w:t xml:space="preserve">Director of Policy, Research and Impact at </w:t>
      </w:r>
      <w:r w:rsidR="006C27D0" w:rsidRPr="00D62401">
        <w:rPr>
          <w:rFonts w:cs="Arial"/>
          <w:sz w:val="24"/>
          <w:szCs w:val="24"/>
        </w:rPr>
        <w:t xml:space="preserve">Health and Social Care Alliance Scotland (the ALLIANCE); </w:t>
      </w:r>
      <w:hyperlink r:id="rId4" w:history="1">
        <w:r w:rsidR="006C27D0" w:rsidRPr="00D62401">
          <w:rPr>
            <w:rStyle w:val="Hyperlink"/>
            <w:rFonts w:cs="Arial"/>
            <w:sz w:val="24"/>
            <w:szCs w:val="24"/>
          </w:rPr>
          <w:t>Prof. Jo Ferrie</w:t>
        </w:r>
      </w:hyperlink>
      <w:r w:rsidR="006C27D0" w:rsidRPr="00D62401">
        <w:rPr>
          <w:rStyle w:val="Hyperlink"/>
          <w:rFonts w:cs="Arial"/>
          <w:sz w:val="24"/>
          <w:szCs w:val="24"/>
        </w:rPr>
        <w:t xml:space="preserve">, </w:t>
      </w:r>
      <w:r w:rsidR="006C27D0" w:rsidRPr="00D62401">
        <w:rPr>
          <w:rStyle w:val="Strong"/>
          <w:rFonts w:eastAsiaTheme="majorEastAsia" w:cs="Arial"/>
          <w:b w:val="0"/>
          <w:bCs w:val="0"/>
          <w:lang w:val="en"/>
        </w:rPr>
        <w:t>Senior Lecturer</w:t>
      </w:r>
      <w:r w:rsidR="006C27D0" w:rsidRPr="00D62401">
        <w:rPr>
          <w:rFonts w:cs="Arial"/>
          <w:sz w:val="24"/>
          <w:szCs w:val="24"/>
          <w:lang w:val="en"/>
        </w:rPr>
        <w:t xml:space="preserve"> at the School of Social and Political Sciences at University of Glasgow. </w:t>
      </w:r>
    </w:p>
  </w:endnote>
  <w:endnote w:id="3">
    <w:p w14:paraId="180F5C64" w14:textId="2EBF1992" w:rsidR="007F17DE" w:rsidRPr="00D62401" w:rsidRDefault="007F17DE" w:rsidP="007F17DE">
      <w:pPr>
        <w:pStyle w:val="EndnoteText"/>
        <w:rPr>
          <w:sz w:val="24"/>
          <w:szCs w:val="24"/>
        </w:rPr>
      </w:pPr>
      <w:r w:rsidRPr="00D62401">
        <w:rPr>
          <w:rStyle w:val="EndnoteReference"/>
          <w:sz w:val="24"/>
          <w:szCs w:val="24"/>
        </w:rPr>
        <w:endnoteRef/>
      </w:r>
      <w:r w:rsidRPr="00D62401">
        <w:rPr>
          <w:sz w:val="24"/>
          <w:szCs w:val="24"/>
        </w:rPr>
        <w:t xml:space="preserve"> See </w:t>
      </w:r>
      <w:r w:rsidR="00B26242" w:rsidRPr="00D62401">
        <w:rPr>
          <w:sz w:val="24"/>
          <w:szCs w:val="24"/>
        </w:rPr>
        <w:t xml:space="preserve">our </w:t>
      </w:r>
      <w:hyperlink r:id="rId5" w:history="1">
        <w:r w:rsidR="00B26242" w:rsidRPr="00D62401">
          <w:rPr>
            <w:rStyle w:val="Hyperlink"/>
            <w:sz w:val="24"/>
            <w:szCs w:val="24"/>
          </w:rPr>
          <w:t xml:space="preserve">website </w:t>
        </w:r>
        <w:r w:rsidRPr="00D62401">
          <w:rPr>
            <w:rStyle w:val="Hyperlink"/>
            <w:sz w:val="24"/>
            <w:szCs w:val="24"/>
          </w:rPr>
          <w:t>for more information and publications on human rights budget work</w:t>
        </w:r>
      </w:hyperlink>
    </w:p>
  </w:endnote>
  <w:endnote w:id="4">
    <w:p w14:paraId="20583A01" w14:textId="77777777" w:rsidR="007F17DE" w:rsidRPr="00D62401" w:rsidRDefault="007F17DE" w:rsidP="007F17DE">
      <w:pPr>
        <w:pStyle w:val="EndnoteText"/>
        <w:rPr>
          <w:sz w:val="24"/>
          <w:szCs w:val="24"/>
        </w:rPr>
      </w:pPr>
      <w:r w:rsidRPr="00D62401">
        <w:rPr>
          <w:rStyle w:val="EndnoteReference"/>
          <w:sz w:val="24"/>
          <w:szCs w:val="24"/>
        </w:rPr>
        <w:endnoteRef/>
      </w:r>
      <w:r w:rsidRPr="00D62401">
        <w:rPr>
          <w:sz w:val="24"/>
          <w:szCs w:val="24"/>
        </w:rPr>
        <w:t xml:space="preserve"> The criteria were developed by multilateral organisations and are recognised as authoritative by the </w:t>
      </w:r>
      <w:r w:rsidRPr="00D62401">
        <w:rPr>
          <w:sz w:val="24"/>
          <w:szCs w:val="24"/>
          <w:lang w:val="en-US"/>
        </w:rPr>
        <w:t>International Monetary Fund (IMF), the World Bank and the Organisation for Economic Co-operation and Development (OECD)</w:t>
      </w:r>
      <w:r w:rsidRPr="00D62401">
        <w:rPr>
          <w:sz w:val="24"/>
          <w:szCs w:val="24"/>
        </w:rPr>
        <w:t>.</w:t>
      </w:r>
    </w:p>
  </w:endnote>
  <w:endnote w:id="5">
    <w:p w14:paraId="73B5EB63" w14:textId="53318BC8" w:rsidR="007F17DE" w:rsidRPr="00D62401" w:rsidRDefault="007F17DE" w:rsidP="007F17DE">
      <w:pPr>
        <w:spacing w:before="0" w:after="0" w:line="240" w:lineRule="auto"/>
        <w:rPr>
          <w:sz w:val="24"/>
          <w:szCs w:val="24"/>
        </w:rPr>
      </w:pPr>
      <w:r w:rsidRPr="00D62401">
        <w:rPr>
          <w:rStyle w:val="EndnoteReference"/>
          <w:sz w:val="24"/>
          <w:szCs w:val="24"/>
        </w:rPr>
        <w:endnoteRef/>
      </w:r>
      <w:r w:rsidRPr="00D62401">
        <w:rPr>
          <w:sz w:val="24"/>
          <w:szCs w:val="24"/>
        </w:rPr>
        <w:t xml:space="preserve"> The UK government’s budget process is already assessed by the OBS, however, as a sub-national government, Scotland’s devolved budgeting processes are not specifically subject to assessment. </w:t>
      </w:r>
      <w:hyperlink r:id="rId6" w:history="1">
        <w:r w:rsidRPr="00D62401">
          <w:rPr>
            <w:rStyle w:val="Hyperlink"/>
            <w:sz w:val="24"/>
            <w:szCs w:val="24"/>
          </w:rPr>
          <w:t xml:space="preserve">The UK’s report can be accessed </w:t>
        </w:r>
        <w:r w:rsidR="00B26242" w:rsidRPr="00D62401">
          <w:rPr>
            <w:rStyle w:val="Hyperlink"/>
            <w:sz w:val="24"/>
            <w:szCs w:val="24"/>
          </w:rPr>
          <w:t>on the International Budget Partnership’s website</w:t>
        </w:r>
      </w:hyperlink>
      <w:r w:rsidR="00B26242" w:rsidRPr="00D62401">
        <w:rPr>
          <w:sz w:val="24"/>
          <w:szCs w:val="24"/>
        </w:rPr>
        <w:t>.</w:t>
      </w:r>
    </w:p>
  </w:endnote>
  <w:endnote w:id="6">
    <w:p w14:paraId="2514298E" w14:textId="5F0023C4" w:rsidR="007F17DE" w:rsidRPr="00D62401" w:rsidRDefault="007F17DE" w:rsidP="00B26242">
      <w:pPr>
        <w:pStyle w:val="EndnoteText"/>
        <w:rPr>
          <w:sz w:val="24"/>
          <w:szCs w:val="24"/>
        </w:rPr>
      </w:pPr>
      <w:r w:rsidRPr="00D62401">
        <w:rPr>
          <w:rStyle w:val="EndnoteReference"/>
          <w:sz w:val="24"/>
          <w:szCs w:val="24"/>
        </w:rPr>
        <w:endnoteRef/>
      </w:r>
      <w:r w:rsidRPr="00D62401">
        <w:rPr>
          <w:sz w:val="24"/>
          <w:szCs w:val="24"/>
        </w:rPr>
        <w:t xml:space="preserve"> See </w:t>
      </w:r>
      <w:r w:rsidR="00B26242" w:rsidRPr="00D62401">
        <w:rPr>
          <w:sz w:val="24"/>
          <w:szCs w:val="24"/>
        </w:rPr>
        <w:t xml:space="preserve">our report on </w:t>
      </w:r>
      <w:hyperlink r:id="rId7" w:history="1">
        <w:r w:rsidR="00B26242" w:rsidRPr="00D62401">
          <w:rPr>
            <w:rStyle w:val="Hyperlink"/>
            <w:sz w:val="24"/>
            <w:szCs w:val="24"/>
          </w:rPr>
          <w:t>The Open Budget Survey 2019 results for Scotland’s 2017/18 Budget</w:t>
        </w:r>
      </w:hyperlink>
    </w:p>
  </w:endnote>
  <w:endnote w:id="7">
    <w:p w14:paraId="118AF857" w14:textId="0BBD6B8C" w:rsidR="007F17DE" w:rsidRPr="00D62401" w:rsidRDefault="007F17DE" w:rsidP="007F17DE">
      <w:pPr>
        <w:pStyle w:val="EndnoteText"/>
        <w:rPr>
          <w:sz w:val="24"/>
          <w:szCs w:val="24"/>
        </w:rPr>
      </w:pPr>
      <w:r w:rsidRPr="00D62401">
        <w:rPr>
          <w:rStyle w:val="EndnoteReference"/>
          <w:sz w:val="24"/>
          <w:szCs w:val="24"/>
        </w:rPr>
        <w:endnoteRef/>
      </w:r>
      <w:r w:rsidRPr="00D62401">
        <w:rPr>
          <w:sz w:val="24"/>
          <w:szCs w:val="24"/>
        </w:rPr>
        <w:t xml:space="preserve"> This has been produced once again following the OBS methodology with the support of the International Budget Partnership. </w:t>
      </w:r>
      <w:hyperlink r:id="rId8" w:history="1">
        <w:r w:rsidRPr="00D62401">
          <w:rPr>
            <w:rStyle w:val="Hyperlink"/>
            <w:sz w:val="24"/>
            <w:szCs w:val="24"/>
          </w:rPr>
          <w:t xml:space="preserve">See </w:t>
        </w:r>
        <w:r w:rsidR="00B26242" w:rsidRPr="00D62401">
          <w:rPr>
            <w:rStyle w:val="Hyperlink"/>
            <w:sz w:val="24"/>
            <w:szCs w:val="24"/>
          </w:rPr>
          <w:t>the International Budget Partnership's Guide to the Open Budget Questionnaire</w:t>
        </w:r>
      </w:hyperlink>
      <w:r w:rsidR="00B26242" w:rsidRPr="00D62401">
        <w:rPr>
          <w:sz w:val="24"/>
          <w:szCs w:val="24"/>
        </w:rPr>
        <w:t xml:space="preserve"> </w:t>
      </w:r>
    </w:p>
  </w:endnote>
  <w:endnote w:id="8">
    <w:p w14:paraId="1B65ED96" w14:textId="5F36C905" w:rsidR="007F17DE" w:rsidRPr="00D62401" w:rsidRDefault="007F17DE" w:rsidP="007F17DE">
      <w:pPr>
        <w:pStyle w:val="EndnoteText"/>
        <w:rPr>
          <w:sz w:val="24"/>
          <w:szCs w:val="24"/>
        </w:rPr>
      </w:pPr>
      <w:r w:rsidRPr="00D62401">
        <w:rPr>
          <w:rStyle w:val="EndnoteReference"/>
          <w:sz w:val="24"/>
          <w:szCs w:val="24"/>
        </w:rPr>
        <w:endnoteRef/>
      </w:r>
      <w:r w:rsidRPr="00D62401">
        <w:rPr>
          <w:sz w:val="24"/>
          <w:szCs w:val="24"/>
        </w:rPr>
        <w:t xml:space="preserve"> See </w:t>
      </w:r>
      <w:r w:rsidR="00B26242" w:rsidRPr="00D62401">
        <w:rPr>
          <w:sz w:val="24"/>
          <w:szCs w:val="24"/>
        </w:rPr>
        <w:t xml:space="preserve">our report on </w:t>
      </w:r>
      <w:hyperlink r:id="rId9" w:history="1">
        <w:r w:rsidR="00B26242" w:rsidRPr="00D62401">
          <w:rPr>
            <w:rStyle w:val="Hyperlink"/>
            <w:sz w:val="24"/>
            <w:szCs w:val="24"/>
          </w:rPr>
          <w:t>The Open Budget Survey 2019 results for Scotland’s 2017/18 Budget</w:t>
        </w:r>
      </w:hyperlink>
    </w:p>
  </w:endnote>
  <w:endnote w:id="9">
    <w:p w14:paraId="30584E03" w14:textId="5EBDF8F5" w:rsidR="007F17DE" w:rsidRPr="00D62401" w:rsidRDefault="007F17DE" w:rsidP="007F17DE">
      <w:pPr>
        <w:pStyle w:val="EndnoteText"/>
        <w:rPr>
          <w:sz w:val="24"/>
          <w:szCs w:val="24"/>
        </w:rPr>
      </w:pPr>
      <w:r w:rsidRPr="00D62401">
        <w:rPr>
          <w:rStyle w:val="EndnoteReference"/>
          <w:sz w:val="24"/>
          <w:szCs w:val="24"/>
        </w:rPr>
        <w:endnoteRef/>
      </w:r>
      <w:r w:rsidRPr="00D62401">
        <w:rPr>
          <w:sz w:val="24"/>
          <w:szCs w:val="24"/>
        </w:rPr>
        <w:t xml:space="preserve"> See </w:t>
      </w:r>
      <w:r w:rsidR="00B26242" w:rsidRPr="00D62401">
        <w:rPr>
          <w:sz w:val="24"/>
          <w:szCs w:val="24"/>
        </w:rPr>
        <w:t xml:space="preserve">the </w:t>
      </w:r>
      <w:hyperlink r:id="rId10" w:history="1">
        <w:r w:rsidR="00B26242" w:rsidRPr="00D62401">
          <w:rPr>
            <w:rStyle w:val="Hyperlink"/>
            <w:sz w:val="24"/>
            <w:szCs w:val="24"/>
          </w:rPr>
          <w:t>International Budget Partnership’s website</w:t>
        </w:r>
      </w:hyperlink>
    </w:p>
  </w:endnote>
  <w:endnote w:id="10">
    <w:p w14:paraId="68988C0B" w14:textId="56D4F5DF" w:rsidR="00C57B2E" w:rsidRPr="00D62401" w:rsidRDefault="00C57B2E" w:rsidP="00B26242">
      <w:pPr>
        <w:spacing w:before="0" w:after="0" w:line="240" w:lineRule="auto"/>
        <w:rPr>
          <w:rFonts w:cs="Arial"/>
          <w:sz w:val="24"/>
          <w:szCs w:val="24"/>
        </w:rPr>
      </w:pPr>
      <w:r w:rsidRPr="00D62401">
        <w:rPr>
          <w:rStyle w:val="EndnoteReference"/>
          <w:rFonts w:cs="Arial"/>
          <w:sz w:val="24"/>
          <w:szCs w:val="24"/>
        </w:rPr>
        <w:endnoteRef/>
      </w:r>
      <w:r w:rsidRPr="00D62401">
        <w:rPr>
          <w:rFonts w:cs="Arial"/>
          <w:sz w:val="24"/>
          <w:szCs w:val="24"/>
        </w:rPr>
        <w:t xml:space="preserve"> </w:t>
      </w:r>
      <w:hyperlink r:id="rId11" w:history="1">
        <w:r w:rsidR="00B26242" w:rsidRPr="00D62401">
          <w:rPr>
            <w:rStyle w:val="Hyperlink"/>
            <w:sz w:val="24"/>
            <w:szCs w:val="24"/>
          </w:rPr>
          <w:t>The UK’s report can be accessed on the International Budget Partnership’s website.</w:t>
        </w:r>
      </w:hyperlink>
    </w:p>
  </w:endnote>
  <w:endnote w:id="11">
    <w:p w14:paraId="3F41686C" w14:textId="557FC4A6"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The International Budget Partnership collaborates with civil society around the world to analyse and influence public budgets in order to reduce poverty and improve the quality of governance</w:t>
      </w:r>
      <w:r w:rsidR="00B26242" w:rsidRPr="00D62401">
        <w:rPr>
          <w:rFonts w:cs="Arial"/>
          <w:sz w:val="24"/>
          <w:szCs w:val="24"/>
        </w:rPr>
        <w:t>, see: the</w:t>
      </w:r>
      <w:r w:rsidRPr="00D62401">
        <w:rPr>
          <w:rFonts w:cs="Arial"/>
          <w:sz w:val="24"/>
          <w:szCs w:val="24"/>
        </w:rPr>
        <w:t xml:space="preserve"> </w:t>
      </w:r>
      <w:hyperlink r:id="rId12" w:history="1">
        <w:r w:rsidR="00B26242" w:rsidRPr="00D62401">
          <w:rPr>
            <w:rStyle w:val="Hyperlink"/>
            <w:sz w:val="24"/>
            <w:szCs w:val="24"/>
          </w:rPr>
          <w:t>International Budget Partnership’s website</w:t>
        </w:r>
      </w:hyperlink>
    </w:p>
  </w:endnote>
  <w:endnote w:id="12">
    <w:p w14:paraId="23076BFA" w14:textId="77777777" w:rsidR="00C57B2E" w:rsidRPr="00D62401" w:rsidRDefault="00C57B2E" w:rsidP="00C57B2E">
      <w:pPr>
        <w:pStyle w:val="footnote"/>
        <w:rPr>
          <w:rFonts w:cs="Arial"/>
          <w:sz w:val="24"/>
          <w:szCs w:val="24"/>
        </w:rPr>
      </w:pPr>
      <w:r w:rsidRPr="00D62401">
        <w:rPr>
          <w:rStyle w:val="EndnoteReference"/>
          <w:rFonts w:cs="Arial"/>
          <w:sz w:val="24"/>
          <w:szCs w:val="24"/>
        </w:rPr>
        <w:endnoteRef/>
      </w:r>
      <w:r w:rsidRPr="00D62401">
        <w:rPr>
          <w:rFonts w:cs="Arial"/>
          <w:sz w:val="24"/>
          <w:szCs w:val="24"/>
        </w:rPr>
        <w:t xml:space="preserve"> This figure has been amended since the 2019 publication - During the process of this research, it became apparent that assessment for some of the questions relating to revenue (specifically questions 10, 12 &amp; 26) was too lenient in 2017/2018. Points were awarded when non-tax revenue wasn’t addressed at all or only in vague terms. This became apparent because the 2021/2022 budget documents also suffer from a lack of information relating to non-tax revenue. </w:t>
      </w:r>
    </w:p>
  </w:endnote>
  <w:endnote w:id="13">
    <w:p w14:paraId="65D23263" w14:textId="52D6DCC5" w:rsidR="00C57B2E" w:rsidRPr="00D62401" w:rsidRDefault="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r w:rsidR="00B26242" w:rsidRPr="00D62401">
        <w:rPr>
          <w:rFonts w:cs="Arial"/>
          <w:sz w:val="24"/>
          <w:szCs w:val="24"/>
        </w:rPr>
        <w:t>the</w:t>
      </w:r>
      <w:r w:rsidR="00881916">
        <w:rPr>
          <w:rFonts w:cs="Arial"/>
          <w:sz w:val="24"/>
          <w:szCs w:val="24"/>
        </w:rPr>
        <w:t xml:space="preserve"> Scottish Government</w:t>
      </w:r>
      <w:r w:rsidR="00B26242" w:rsidRPr="00D62401">
        <w:rPr>
          <w:rFonts w:cs="Arial"/>
          <w:sz w:val="24"/>
          <w:szCs w:val="24"/>
        </w:rPr>
        <w:t xml:space="preserve">'s </w:t>
      </w:r>
      <w:hyperlink r:id="rId13" w:history="1">
        <w:r w:rsidR="00B26242" w:rsidRPr="00D62401">
          <w:rPr>
            <w:rStyle w:val="Hyperlink"/>
            <w:rFonts w:cs="Arial"/>
            <w:sz w:val="24"/>
            <w:szCs w:val="24"/>
          </w:rPr>
          <w:t>Tackling inequality: guidance on making budget decisions</w:t>
        </w:r>
      </w:hyperlink>
    </w:p>
  </w:endnote>
  <w:endnote w:id="14">
    <w:p w14:paraId="4481FE61" w14:textId="17E05D8A"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r w:rsidR="00B26242" w:rsidRPr="00D62401">
        <w:rPr>
          <w:rFonts w:cs="Arial"/>
          <w:sz w:val="24"/>
          <w:szCs w:val="24"/>
        </w:rPr>
        <w:t>the</w:t>
      </w:r>
      <w:r w:rsidR="00881916">
        <w:rPr>
          <w:rFonts w:cs="Arial"/>
          <w:sz w:val="24"/>
          <w:szCs w:val="24"/>
        </w:rPr>
        <w:t xml:space="preserve"> Scottish Government</w:t>
      </w:r>
      <w:r w:rsidR="00B26242" w:rsidRPr="00D62401">
        <w:rPr>
          <w:rFonts w:cs="Arial"/>
          <w:sz w:val="24"/>
          <w:szCs w:val="24"/>
        </w:rPr>
        <w:t xml:space="preserve">'s </w:t>
      </w:r>
      <w:hyperlink r:id="rId14" w:history="1">
        <w:r w:rsidR="00B26242" w:rsidRPr="00D62401">
          <w:rPr>
            <w:rStyle w:val="Hyperlink"/>
            <w:rFonts w:cs="Arial"/>
            <w:sz w:val="24"/>
            <w:szCs w:val="24"/>
          </w:rPr>
          <w:t>Your Scotland, Your Finances: 2021-22 Scottish Budget</w:t>
        </w:r>
      </w:hyperlink>
      <w:r w:rsidR="00B26242" w:rsidRPr="00D62401">
        <w:rPr>
          <w:rFonts w:cs="Arial"/>
          <w:sz w:val="24"/>
          <w:szCs w:val="24"/>
        </w:rPr>
        <w:t xml:space="preserve"> </w:t>
      </w:r>
    </w:p>
  </w:endnote>
  <w:endnote w:id="15">
    <w:p w14:paraId="4A08A914" w14:textId="15714729"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r w:rsidR="00B26242" w:rsidRPr="00D62401">
        <w:rPr>
          <w:rFonts w:cs="Arial"/>
          <w:sz w:val="24"/>
          <w:szCs w:val="24"/>
        </w:rPr>
        <w:t>the</w:t>
      </w:r>
      <w:r w:rsidR="00881916">
        <w:rPr>
          <w:rFonts w:cs="Arial"/>
          <w:sz w:val="24"/>
          <w:szCs w:val="24"/>
        </w:rPr>
        <w:t xml:space="preserve"> Scottish Government</w:t>
      </w:r>
      <w:r w:rsidR="00B26242" w:rsidRPr="00D62401">
        <w:rPr>
          <w:rFonts w:cs="Arial"/>
          <w:sz w:val="24"/>
          <w:szCs w:val="24"/>
        </w:rPr>
        <w:t xml:space="preserve">'s </w:t>
      </w:r>
      <w:hyperlink r:id="rId15" w:history="1">
        <w:r w:rsidR="00B26242" w:rsidRPr="00D62401">
          <w:rPr>
            <w:rStyle w:val="Hyperlink"/>
            <w:rFonts w:cs="Arial"/>
            <w:sz w:val="24"/>
            <w:szCs w:val="24"/>
          </w:rPr>
          <w:t>Your Scotland, Your Finances: 2021-22 Scottish Budget</w:t>
        </w:r>
      </w:hyperlink>
      <w:r w:rsidR="00B26242" w:rsidRPr="00D62401">
        <w:rPr>
          <w:rFonts w:cs="Arial"/>
          <w:sz w:val="24"/>
          <w:szCs w:val="24"/>
        </w:rPr>
        <w:t xml:space="preserve"> </w:t>
      </w:r>
      <w:r w:rsidRPr="00D62401">
        <w:rPr>
          <w:rFonts w:cs="Arial"/>
          <w:sz w:val="24"/>
          <w:szCs w:val="24"/>
        </w:rPr>
        <w:t>for further information on the advisory group.</w:t>
      </w:r>
    </w:p>
  </w:endnote>
  <w:endnote w:id="16">
    <w:p w14:paraId="494B35F0" w14:textId="0A91EFA6"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r w:rsidR="00B26242" w:rsidRPr="00D62401">
        <w:rPr>
          <w:rFonts w:cs="Arial"/>
          <w:sz w:val="24"/>
          <w:szCs w:val="24"/>
        </w:rPr>
        <w:t xml:space="preserve">our </w:t>
      </w:r>
      <w:hyperlink r:id="rId16" w:history="1">
        <w:r w:rsidR="00B26242" w:rsidRPr="00D62401">
          <w:rPr>
            <w:rStyle w:val="Hyperlink"/>
            <w:rFonts w:cs="Arial"/>
            <w:sz w:val="24"/>
            <w:szCs w:val="24"/>
          </w:rPr>
          <w:t>Human Rights Based Approach: A Self-Assessment Tool</w:t>
        </w:r>
      </w:hyperlink>
    </w:p>
  </w:endnote>
  <w:endnote w:id="17">
    <w:p w14:paraId="14B116EE" w14:textId="7242759D"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17" w:history="1">
        <w:r w:rsidRPr="00D62401">
          <w:rPr>
            <w:rStyle w:val="Hyperlink"/>
            <w:rFonts w:cs="Arial"/>
            <w:sz w:val="24"/>
            <w:szCs w:val="24"/>
          </w:rPr>
          <w:t>National Outcomes</w:t>
        </w:r>
        <w:r w:rsidR="008A74FF" w:rsidRPr="00D62401">
          <w:rPr>
            <w:rStyle w:val="Hyperlink"/>
            <w:rFonts w:cs="Arial"/>
            <w:sz w:val="24"/>
            <w:szCs w:val="24"/>
          </w:rPr>
          <w:t xml:space="preserve"> </w:t>
        </w:r>
        <w:r w:rsidRPr="00D62401">
          <w:rPr>
            <w:rStyle w:val="Hyperlink"/>
            <w:rFonts w:cs="Arial"/>
            <w:sz w:val="24"/>
            <w:szCs w:val="24"/>
          </w:rPr>
          <w:t>National Performance Framework</w:t>
        </w:r>
      </w:hyperlink>
    </w:p>
  </w:endnote>
  <w:endnote w:id="18">
    <w:p w14:paraId="68C9714A" w14:textId="024F5C81"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These briefing papers explain the</w:t>
      </w:r>
      <w:hyperlink r:id="rId18" w:history="1">
        <w:r w:rsidRPr="00D62401">
          <w:rPr>
            <w:rStyle w:val="Hyperlink"/>
            <w:rFonts w:cs="Arial"/>
            <w:sz w:val="24"/>
            <w:szCs w:val="24"/>
          </w:rPr>
          <w:t xml:space="preserve"> "what, why and how" of using human rights to create and scrutinise Scotland's national budget</w:t>
        </w:r>
      </w:hyperlink>
      <w:r w:rsidRPr="00D62401">
        <w:rPr>
          <w:rFonts w:cs="Arial"/>
          <w:sz w:val="24"/>
          <w:szCs w:val="24"/>
        </w:rPr>
        <w:t xml:space="preserve">. </w:t>
      </w:r>
    </w:p>
  </w:endnote>
  <w:endnote w:id="19">
    <w:p w14:paraId="601BEABE" w14:textId="35C3A312"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r w:rsidR="00595CF4" w:rsidRPr="00D62401">
        <w:rPr>
          <w:rFonts w:cs="Arial"/>
          <w:sz w:val="24"/>
          <w:szCs w:val="24"/>
        </w:rPr>
        <w:t>the</w:t>
      </w:r>
      <w:r w:rsidR="00881916">
        <w:rPr>
          <w:rFonts w:cs="Arial"/>
          <w:sz w:val="24"/>
          <w:szCs w:val="24"/>
        </w:rPr>
        <w:t xml:space="preserve"> Scottish Government</w:t>
      </w:r>
      <w:r w:rsidR="00595CF4" w:rsidRPr="00D62401">
        <w:rPr>
          <w:rFonts w:cs="Arial"/>
          <w:sz w:val="24"/>
          <w:szCs w:val="24"/>
        </w:rPr>
        <w:t xml:space="preserve">'s </w:t>
      </w:r>
      <w:hyperlink r:id="rId19" w:history="1">
        <w:r w:rsidR="00595CF4" w:rsidRPr="00D62401">
          <w:rPr>
            <w:rStyle w:val="Hyperlink"/>
            <w:rFonts w:cs="Arial"/>
            <w:sz w:val="24"/>
            <w:szCs w:val="24"/>
          </w:rPr>
          <w:t>Tackling inequality: guidance on making budget decisions</w:t>
        </w:r>
      </w:hyperlink>
    </w:p>
  </w:endnote>
  <w:endnote w:id="20">
    <w:p w14:paraId="2A095C5B" w14:textId="77777777"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ibid.</w:t>
      </w:r>
    </w:p>
  </w:endnote>
  <w:endnote w:id="21">
    <w:p w14:paraId="4428E706" w14:textId="77777777"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As Scotland is a subnational government, Scotland cannot be included as part of the main OBS - therefore unlike the assessment for countries included in the OBS, the questionnaire was not assessed by a peer reviewer and did not undergo a detailed review by IBP.</w:t>
      </w:r>
    </w:p>
  </w:endnote>
  <w:endnote w:id="22">
    <w:p w14:paraId="7033B475" w14:textId="7D0AA0A5" w:rsidR="00C57B2E" w:rsidRPr="00D62401" w:rsidRDefault="00C57B2E" w:rsidP="00C57B2E">
      <w:pPr>
        <w:pStyle w:val="footnote"/>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20" w:history="1">
        <w:r w:rsidR="00595CF4" w:rsidRPr="00D62401">
          <w:rPr>
            <w:rStyle w:val="Hyperlink"/>
            <w:rFonts w:cs="Arial"/>
            <w:sz w:val="24"/>
            <w:szCs w:val="24"/>
          </w:rPr>
          <w:t>Scotland's Open Government action plan: 2021 to 2025</w:t>
        </w:r>
      </w:hyperlink>
      <w:r w:rsidR="00595CF4" w:rsidRPr="00D62401">
        <w:rPr>
          <w:rFonts w:cs="Arial"/>
          <w:sz w:val="24"/>
          <w:szCs w:val="24"/>
        </w:rPr>
        <w:t xml:space="preserve"> </w:t>
      </w:r>
      <w:r w:rsidRPr="00D62401">
        <w:rPr>
          <w:rFonts w:cs="Arial"/>
          <w:sz w:val="24"/>
          <w:szCs w:val="24"/>
          <w:lang w:val="en-GB"/>
        </w:rPr>
        <w:t>a</w:t>
      </w:r>
      <w:r w:rsidRPr="00D62401">
        <w:rPr>
          <w:rFonts w:cs="Arial"/>
          <w:sz w:val="24"/>
          <w:szCs w:val="24"/>
        </w:rPr>
        <w:t xml:space="preserve">nd </w:t>
      </w:r>
      <w:hyperlink r:id="rId21" w:history="1">
        <w:r w:rsidRPr="00D62401">
          <w:rPr>
            <w:rStyle w:val="Hyperlink"/>
            <w:rFonts w:cs="Arial"/>
            <w:sz w:val="24"/>
            <w:szCs w:val="24"/>
          </w:rPr>
          <w:t>Progress to May 2023 - Open Government action plan 2021 to 2025 - commitment 1: fiscal openness and transparency - gov.scot (www.gov.scot)</w:t>
        </w:r>
      </w:hyperlink>
    </w:p>
  </w:endnote>
  <w:endnote w:id="23">
    <w:p w14:paraId="0A9EE032" w14:textId="0E833083"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22" w:history="1">
        <w:r w:rsidR="00881916">
          <w:rPr>
            <w:rStyle w:val="Hyperlink"/>
            <w:rFonts w:cs="Arial"/>
            <w:sz w:val="24"/>
            <w:szCs w:val="24"/>
          </w:rPr>
          <w:t>The Scottish Government</w:t>
        </w:r>
        <w:r w:rsidRPr="00D62401">
          <w:rPr>
            <w:rStyle w:val="Hyperlink"/>
            <w:rFonts w:cs="Arial"/>
            <w:sz w:val="24"/>
            <w:szCs w:val="24"/>
          </w:rPr>
          <w:t xml:space="preserve"> response to the Equality and Human Rights Budget Advisory Group’s recommendations (www.gov.scot)</w:t>
        </w:r>
      </w:hyperlink>
    </w:p>
  </w:endnote>
  <w:endnote w:id="24">
    <w:p w14:paraId="0C0BA307" w14:textId="452AB64D" w:rsidR="00C57B2E" w:rsidRPr="00D62401" w:rsidRDefault="00C57B2E" w:rsidP="00595CF4">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r w:rsidR="00595CF4" w:rsidRPr="00D62401">
        <w:rPr>
          <w:rFonts w:cs="Arial"/>
          <w:sz w:val="24"/>
          <w:szCs w:val="24"/>
        </w:rPr>
        <w:t xml:space="preserve">International Budget Partnership’s </w:t>
      </w:r>
      <w:hyperlink r:id="rId23" w:history="1">
        <w:r w:rsidR="00595CF4" w:rsidRPr="00D62401">
          <w:rPr>
            <w:rStyle w:val="Hyperlink"/>
            <w:rFonts w:cs="Arial"/>
            <w:sz w:val="24"/>
            <w:szCs w:val="24"/>
          </w:rPr>
          <w:t>Guide to Transparency in Government Budget Reports</w:t>
        </w:r>
      </w:hyperlink>
    </w:p>
  </w:endnote>
  <w:endnote w:id="25">
    <w:p w14:paraId="3579F43F" w14:textId="4BD828AF"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Ramkumar, V. &amp; Shapiro, I. (2011) </w:t>
      </w:r>
      <w:hyperlink r:id="rId24" w:history="1">
        <w:r w:rsidRPr="00D62401">
          <w:rPr>
            <w:rStyle w:val="Hyperlink"/>
            <w:rFonts w:cs="Arial"/>
            <w:sz w:val="24"/>
            <w:szCs w:val="24"/>
          </w:rPr>
          <w:t>Guide to Transparency in Government Budget Reports: Why are Budget Reports Important, and What Should They Include?,</w:t>
        </w:r>
      </w:hyperlink>
      <w:r w:rsidRPr="00D62401">
        <w:rPr>
          <w:rFonts w:cs="Arial"/>
          <w:sz w:val="24"/>
          <w:szCs w:val="24"/>
        </w:rPr>
        <w:t xml:space="preserve"> International Budget Partnership</w:t>
      </w:r>
    </w:p>
  </w:endnote>
  <w:endnote w:id="26">
    <w:p w14:paraId="229BF147" w14:textId="46242C61"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Organization for Economic Cooperation and Development. “</w:t>
      </w:r>
      <w:hyperlink r:id="rId25" w:history="1">
        <w:r w:rsidRPr="00D62401">
          <w:rPr>
            <w:rStyle w:val="Hyperlink"/>
            <w:rFonts w:cs="Arial"/>
            <w:sz w:val="24"/>
            <w:szCs w:val="24"/>
          </w:rPr>
          <w:t>Best Practices for Budget Transparency</w:t>
        </w:r>
      </w:hyperlink>
      <w:r w:rsidRPr="00D62401">
        <w:rPr>
          <w:rFonts w:cs="Arial"/>
          <w:sz w:val="24"/>
          <w:szCs w:val="24"/>
        </w:rPr>
        <w:t xml:space="preserve">.” OECD Journal on Budgeting, Volume 1, Number 3. 2001. </w:t>
      </w:r>
    </w:p>
  </w:endnote>
  <w:endnote w:id="27">
    <w:p w14:paraId="5383E2D8" w14:textId="1986E2AB"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Ramkumar, V. &amp; Shapiro, I. (2011) Guide to Transparency in Government Budget Reports: Why are Budget Reports Important, and What Should They Include?, International Budget Partnership – accessed at: </w:t>
      </w:r>
      <w:hyperlink r:id="rId26" w:history="1">
        <w:r w:rsidR="00595CF4" w:rsidRPr="00D62401">
          <w:rPr>
            <w:rStyle w:val="Hyperlink"/>
            <w:rFonts w:cs="Arial"/>
            <w:sz w:val="24"/>
            <w:szCs w:val="24"/>
          </w:rPr>
          <w:t>Guide to Transparency in Government Budget Reports: Why are Budget Reports Important, and What Should They Include?,</w:t>
        </w:r>
      </w:hyperlink>
    </w:p>
  </w:endnote>
  <w:endnote w:id="28">
    <w:p w14:paraId="06437D63" w14:textId="35AE7EDD" w:rsidR="00C901D3" w:rsidRPr="00D62401" w:rsidRDefault="00C901D3" w:rsidP="00595CF4">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27" w:history="1">
        <w:r w:rsidR="00595CF4" w:rsidRPr="00D62401">
          <w:rPr>
            <w:rStyle w:val="Hyperlink"/>
            <w:rFonts w:cs="Arial"/>
            <w:sz w:val="24"/>
            <w:szCs w:val="24"/>
          </w:rPr>
          <w:t>Scottish Budget: 2021-22</w:t>
        </w:r>
      </w:hyperlink>
      <w:r w:rsidR="00595CF4" w:rsidRPr="00D62401">
        <w:rPr>
          <w:rFonts w:cs="Arial"/>
          <w:sz w:val="24"/>
          <w:szCs w:val="24"/>
        </w:rPr>
        <w:t xml:space="preserve"> </w:t>
      </w:r>
    </w:p>
  </w:endnote>
  <w:endnote w:id="29">
    <w:p w14:paraId="0ADB50D5" w14:textId="26BEE08B" w:rsidR="00C901D3" w:rsidRPr="00D62401" w:rsidRDefault="00C901D3">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w:t>
      </w:r>
      <w:r w:rsidR="00595CF4" w:rsidRPr="00D62401">
        <w:rPr>
          <w:rFonts w:cs="Arial"/>
          <w:sz w:val="24"/>
          <w:szCs w:val="24"/>
        </w:rPr>
        <w:t xml:space="preserve">See </w:t>
      </w:r>
      <w:hyperlink r:id="rId28" w:history="1">
        <w:r w:rsidR="00595CF4" w:rsidRPr="00D62401">
          <w:rPr>
            <w:rStyle w:val="Hyperlink"/>
            <w:rFonts w:cs="Arial"/>
            <w:sz w:val="24"/>
            <w:szCs w:val="24"/>
          </w:rPr>
          <w:t>Scottish Budget: 2021-22</w:t>
        </w:r>
      </w:hyperlink>
    </w:p>
  </w:endnote>
  <w:endnote w:id="30">
    <w:p w14:paraId="2577BD92" w14:textId="2D53C5B4" w:rsidR="00C901D3" w:rsidRPr="00D62401" w:rsidRDefault="00C901D3">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29" w:history="1">
        <w:r w:rsidR="00595CF4" w:rsidRPr="00D62401">
          <w:rPr>
            <w:rStyle w:val="Hyperlink"/>
            <w:rFonts w:cs="Arial"/>
            <w:sz w:val="24"/>
            <w:szCs w:val="24"/>
          </w:rPr>
          <w:t>Scotland’s Fiscal Outlook: The</w:t>
        </w:r>
        <w:r w:rsidR="00881916">
          <w:rPr>
            <w:rStyle w:val="Hyperlink"/>
            <w:rFonts w:cs="Arial"/>
            <w:sz w:val="24"/>
            <w:szCs w:val="24"/>
          </w:rPr>
          <w:t xml:space="preserve"> Scottish Government</w:t>
        </w:r>
        <w:r w:rsidR="00595CF4" w:rsidRPr="00D62401">
          <w:rPr>
            <w:rStyle w:val="Hyperlink"/>
            <w:rFonts w:cs="Arial"/>
            <w:sz w:val="24"/>
            <w:szCs w:val="24"/>
          </w:rPr>
          <w:t>’s Medium-Term Financial Strategy January 2021</w:t>
        </w:r>
      </w:hyperlink>
    </w:p>
  </w:endnote>
  <w:endnote w:id="31">
    <w:p w14:paraId="6BEA20FB" w14:textId="43259D00" w:rsidR="000F6FE8" w:rsidRPr="00D62401" w:rsidRDefault="000F6FE8" w:rsidP="00595CF4">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r w:rsidR="00595CF4" w:rsidRPr="00D62401">
        <w:rPr>
          <w:rFonts w:cs="Arial"/>
          <w:sz w:val="24"/>
          <w:szCs w:val="24"/>
        </w:rPr>
        <w:t xml:space="preserve">Scottish Fiscal Commission's </w:t>
      </w:r>
      <w:hyperlink r:id="rId30" w:history="1">
        <w:r w:rsidR="00595CF4" w:rsidRPr="00D62401">
          <w:rPr>
            <w:rStyle w:val="Hyperlink"/>
            <w:rFonts w:cs="Arial"/>
            <w:sz w:val="24"/>
            <w:szCs w:val="24"/>
          </w:rPr>
          <w:t>Scotland’s Economic and Fiscal Forecasts – January 2021</w:t>
        </w:r>
      </w:hyperlink>
    </w:p>
  </w:endnote>
  <w:endnote w:id="32">
    <w:p w14:paraId="228E2EB2" w14:textId="59672A7D" w:rsidR="000F6FE8" w:rsidRPr="00D62401" w:rsidRDefault="000F6FE8">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31" w:history="1">
        <w:r w:rsidR="00595CF4" w:rsidRPr="00D62401">
          <w:rPr>
            <w:rStyle w:val="Hyperlink"/>
            <w:rFonts w:cs="Arial"/>
            <w:sz w:val="24"/>
            <w:szCs w:val="24"/>
          </w:rPr>
          <w:t>Scottish Budget 2021-2022: Equality and Fairer Scotland Budget statement</w:t>
        </w:r>
      </w:hyperlink>
    </w:p>
  </w:endnote>
  <w:endnote w:id="33">
    <w:p w14:paraId="05A25F33" w14:textId="2E29F58C"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Ramkumar, V. &amp; Shapiro, I. (2011) </w:t>
      </w:r>
      <w:hyperlink r:id="rId32" w:history="1">
        <w:r w:rsidR="00595CF4" w:rsidRPr="00D62401">
          <w:rPr>
            <w:rStyle w:val="Hyperlink"/>
            <w:rFonts w:cs="Arial"/>
            <w:sz w:val="24"/>
            <w:szCs w:val="24"/>
          </w:rPr>
          <w:t>Guide to Transparency in Government Budget Reports: Why are Budget Reports Important, and What Should They Include?,</w:t>
        </w:r>
      </w:hyperlink>
      <w:r w:rsidR="00595CF4" w:rsidRPr="00D62401">
        <w:rPr>
          <w:rFonts w:cs="Arial"/>
          <w:sz w:val="24"/>
          <w:szCs w:val="24"/>
        </w:rPr>
        <w:t xml:space="preserve"> </w:t>
      </w:r>
      <w:r w:rsidRPr="00D62401">
        <w:rPr>
          <w:rFonts w:cs="Arial"/>
          <w:sz w:val="24"/>
          <w:szCs w:val="24"/>
        </w:rPr>
        <w:t xml:space="preserve">International Budget Partnership – accessed at: </w:t>
      </w:r>
      <w:hyperlink r:id="rId33" w:history="1">
        <w:r w:rsidR="00595CF4" w:rsidRPr="00D62401">
          <w:rPr>
            <w:rStyle w:val="Hyperlink"/>
            <w:rFonts w:cs="Arial"/>
            <w:sz w:val="24"/>
            <w:szCs w:val="24"/>
          </w:rPr>
          <w:t>Guide to Transparency in Government Budget Reports: Why are Budget Reports Important, and What Should They Include?,</w:t>
        </w:r>
      </w:hyperlink>
    </w:p>
  </w:endnote>
  <w:endnote w:id="34">
    <w:p w14:paraId="412ADC21" w14:textId="77777777"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34" w:history="1">
        <w:r w:rsidRPr="00D62401">
          <w:rPr>
            <w:rStyle w:val="Hyperlink"/>
            <w:rFonts w:cs="Arial"/>
            <w:sz w:val="24"/>
            <w:szCs w:val="24"/>
          </w:rPr>
          <w:t>Scottish Budget 2021 to 2022 - Your Scotland, Your Finances: guide - gov.scot (www.gov.scot)</w:t>
        </w:r>
      </w:hyperlink>
      <w:r w:rsidRPr="00D62401">
        <w:rPr>
          <w:rFonts w:cs="Arial"/>
          <w:sz w:val="24"/>
          <w:szCs w:val="24"/>
        </w:rPr>
        <w:t xml:space="preserve"> </w:t>
      </w:r>
    </w:p>
  </w:endnote>
  <w:endnote w:id="35">
    <w:p w14:paraId="244BA519" w14:textId="22855E06"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Ramkumar, V. &amp; Shapiro, I. (2011) </w:t>
      </w:r>
      <w:hyperlink r:id="rId35" w:history="1">
        <w:r w:rsidR="00595CF4" w:rsidRPr="00D62401">
          <w:rPr>
            <w:rStyle w:val="Hyperlink"/>
            <w:rFonts w:cs="Arial"/>
            <w:sz w:val="24"/>
            <w:szCs w:val="24"/>
          </w:rPr>
          <w:t>Guide to Transparency in Government Budget Reports: Why are Budget Reports Important, and What Should They Include?,</w:t>
        </w:r>
      </w:hyperlink>
      <w:r w:rsidR="00595CF4" w:rsidRPr="00D62401">
        <w:rPr>
          <w:rFonts w:cs="Arial"/>
          <w:sz w:val="24"/>
          <w:szCs w:val="24"/>
        </w:rPr>
        <w:t xml:space="preserve"> </w:t>
      </w:r>
      <w:r w:rsidRPr="00D62401">
        <w:rPr>
          <w:rFonts w:cs="Arial"/>
          <w:sz w:val="24"/>
          <w:szCs w:val="24"/>
        </w:rPr>
        <w:t>International Budget Partnership –</w:t>
      </w:r>
    </w:p>
  </w:endnote>
  <w:endnote w:id="36">
    <w:p w14:paraId="05097206" w14:textId="77777777"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36" w:history="1">
        <w:r w:rsidRPr="00D62401">
          <w:rPr>
            <w:rStyle w:val="Hyperlink"/>
            <w:rFonts w:cs="Arial"/>
            <w:sz w:val="24"/>
            <w:szCs w:val="24"/>
          </w:rPr>
          <w:t>Scottish Budget 2021 to 2022 - gov.scot (www.gov.scot)</w:t>
        </w:r>
      </w:hyperlink>
    </w:p>
  </w:endnote>
  <w:endnote w:id="37">
    <w:p w14:paraId="5667FDA9" w14:textId="2F5DC004"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Ramkumar, V. &amp; Shapiro, I. (2011) </w:t>
      </w:r>
      <w:hyperlink r:id="rId37" w:history="1">
        <w:r w:rsidR="00595CF4" w:rsidRPr="00D62401">
          <w:rPr>
            <w:rStyle w:val="Hyperlink"/>
            <w:rFonts w:cs="Arial"/>
            <w:sz w:val="24"/>
            <w:szCs w:val="24"/>
          </w:rPr>
          <w:t>Guide to Transparency in Government Budget Reports: Why are Budget Reports Important, and What Should They Include?,</w:t>
        </w:r>
      </w:hyperlink>
      <w:r w:rsidR="00595CF4" w:rsidRPr="00D62401">
        <w:rPr>
          <w:rFonts w:cs="Arial"/>
          <w:sz w:val="24"/>
          <w:szCs w:val="24"/>
        </w:rPr>
        <w:t xml:space="preserve"> </w:t>
      </w:r>
      <w:r w:rsidRPr="00D62401">
        <w:rPr>
          <w:rFonts w:cs="Arial"/>
          <w:sz w:val="24"/>
          <w:szCs w:val="24"/>
        </w:rPr>
        <w:t>International Budget Partnership</w:t>
      </w:r>
    </w:p>
  </w:endnote>
  <w:endnote w:id="38">
    <w:p w14:paraId="6E7B200C" w14:textId="27F5BA1D"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Ramkumar, V. &amp; Shapiro, I. (2011) </w:t>
      </w:r>
      <w:hyperlink r:id="rId38" w:history="1">
        <w:r w:rsidR="00595CF4" w:rsidRPr="00D62401">
          <w:rPr>
            <w:rStyle w:val="Hyperlink"/>
            <w:rFonts w:cs="Arial"/>
            <w:sz w:val="24"/>
            <w:szCs w:val="24"/>
          </w:rPr>
          <w:t>Guide to Transparency in Government Budget Reports: Why are Budget Reports Important, and What Should They Include?,</w:t>
        </w:r>
      </w:hyperlink>
      <w:r w:rsidR="00595CF4" w:rsidRPr="00D62401">
        <w:rPr>
          <w:rFonts w:cs="Arial"/>
          <w:sz w:val="24"/>
          <w:szCs w:val="24"/>
        </w:rPr>
        <w:t xml:space="preserve"> </w:t>
      </w:r>
      <w:r w:rsidRPr="00D62401">
        <w:rPr>
          <w:rFonts w:cs="Arial"/>
          <w:sz w:val="24"/>
          <w:szCs w:val="24"/>
        </w:rPr>
        <w:t xml:space="preserve">International Budget Partnership </w:t>
      </w:r>
    </w:p>
  </w:endnote>
  <w:endnote w:id="39">
    <w:p w14:paraId="04895C88" w14:textId="01D44DE8"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r w:rsidR="00AA5000" w:rsidRPr="00D62401">
        <w:rPr>
          <w:rFonts w:cs="Arial"/>
          <w:sz w:val="24"/>
          <w:szCs w:val="24"/>
        </w:rPr>
        <w:t>the</w:t>
      </w:r>
      <w:r w:rsidR="00881916">
        <w:rPr>
          <w:rFonts w:cs="Arial"/>
          <w:sz w:val="24"/>
          <w:szCs w:val="24"/>
        </w:rPr>
        <w:t xml:space="preserve"> Scottish Government</w:t>
      </w:r>
      <w:r w:rsidR="00AA5000" w:rsidRPr="00D62401">
        <w:rPr>
          <w:rFonts w:cs="Arial"/>
          <w:sz w:val="24"/>
          <w:szCs w:val="24"/>
        </w:rPr>
        <w:t xml:space="preserve">'s </w:t>
      </w:r>
      <w:hyperlink r:id="rId39" w:history="1">
        <w:r w:rsidR="00AA5000" w:rsidRPr="00D62401">
          <w:rPr>
            <w:rStyle w:val="Hyperlink"/>
            <w:rFonts w:cs="Arial"/>
            <w:sz w:val="24"/>
            <w:szCs w:val="24"/>
          </w:rPr>
          <w:t>Fiscal Framework Outturn Report 2021</w:t>
        </w:r>
      </w:hyperlink>
    </w:p>
  </w:endnote>
  <w:endnote w:id="40">
    <w:p w14:paraId="24AF7DBD" w14:textId="4E222671"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Organization for Economic Cooperation and Development. “</w:t>
      </w:r>
      <w:hyperlink r:id="rId40" w:history="1">
        <w:r w:rsidRPr="00D62401">
          <w:rPr>
            <w:rStyle w:val="Hyperlink"/>
            <w:rFonts w:cs="Arial"/>
            <w:sz w:val="24"/>
            <w:szCs w:val="24"/>
          </w:rPr>
          <w:t>Best Practices for Budget Transparency.” OECD Journal on Budgeting</w:t>
        </w:r>
      </w:hyperlink>
      <w:r w:rsidRPr="00D62401">
        <w:rPr>
          <w:rFonts w:cs="Arial"/>
          <w:sz w:val="24"/>
          <w:szCs w:val="24"/>
        </w:rPr>
        <w:t xml:space="preserve">, Volume 1, Number 3. 2001. </w:t>
      </w:r>
    </w:p>
  </w:endnote>
  <w:endnote w:id="41">
    <w:p w14:paraId="7B777534" w14:textId="24C8F2CA"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Ramkumar, V. &amp; Shapiro, I. (2011) </w:t>
      </w:r>
      <w:hyperlink r:id="rId41" w:history="1">
        <w:r w:rsidR="00AA5000" w:rsidRPr="00D62401">
          <w:rPr>
            <w:rStyle w:val="Hyperlink"/>
            <w:rFonts w:cs="Arial"/>
            <w:sz w:val="24"/>
            <w:szCs w:val="24"/>
          </w:rPr>
          <w:t>Guide to Transparency in Government Budget Reports: Why are Budget Reports Important, and What Should They Include?,</w:t>
        </w:r>
      </w:hyperlink>
      <w:r w:rsidR="00AA5000" w:rsidRPr="00D62401">
        <w:rPr>
          <w:rFonts w:cs="Arial"/>
          <w:sz w:val="24"/>
          <w:szCs w:val="24"/>
        </w:rPr>
        <w:t xml:space="preserve"> </w:t>
      </w:r>
      <w:r w:rsidRPr="00D62401">
        <w:rPr>
          <w:rFonts w:cs="Arial"/>
          <w:sz w:val="24"/>
          <w:szCs w:val="24"/>
        </w:rPr>
        <w:t xml:space="preserve">International Budget Partnership </w:t>
      </w:r>
    </w:p>
  </w:endnote>
  <w:endnote w:id="42">
    <w:p w14:paraId="30D838EA" w14:textId="48BD63A5" w:rsidR="00C57B2E" w:rsidRPr="00D62401" w:rsidRDefault="00C57B2E" w:rsidP="00AA5000">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r w:rsidR="00AA5000" w:rsidRPr="00D62401">
        <w:rPr>
          <w:rFonts w:cs="Arial"/>
          <w:sz w:val="24"/>
          <w:szCs w:val="24"/>
        </w:rPr>
        <w:t>the</w:t>
      </w:r>
      <w:r w:rsidR="00881916">
        <w:rPr>
          <w:rFonts w:cs="Arial"/>
          <w:sz w:val="24"/>
          <w:szCs w:val="24"/>
        </w:rPr>
        <w:t xml:space="preserve"> Scottish Government</w:t>
      </w:r>
      <w:r w:rsidR="00AA5000" w:rsidRPr="00D62401">
        <w:rPr>
          <w:rFonts w:cs="Arial"/>
          <w:sz w:val="24"/>
          <w:szCs w:val="24"/>
        </w:rPr>
        <w:t xml:space="preserve">’s </w:t>
      </w:r>
      <w:hyperlink r:id="rId42" w:history="1">
        <w:r w:rsidR="00AA5000" w:rsidRPr="00D62401">
          <w:rPr>
            <w:rStyle w:val="Hyperlink"/>
            <w:rFonts w:cs="Arial"/>
            <w:sz w:val="24"/>
            <w:szCs w:val="24"/>
          </w:rPr>
          <w:t>Government Expenditure &amp; Revenue 2021-22</w:t>
        </w:r>
      </w:hyperlink>
    </w:p>
  </w:endnote>
  <w:endnote w:id="43">
    <w:p w14:paraId="720C2792" w14:textId="77777777"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43" w:history="1">
        <w:r w:rsidRPr="00D62401">
          <w:rPr>
            <w:rStyle w:val="Hyperlink"/>
            <w:rFonts w:cs="Arial"/>
            <w:sz w:val="24"/>
            <w:szCs w:val="24"/>
          </w:rPr>
          <w:t>Supporting documents - Fiscal framework outturn report: 2022 - gov.scot (www.gov.scot)</w:t>
        </w:r>
      </w:hyperlink>
      <w:r w:rsidRPr="00D62401">
        <w:rPr>
          <w:rFonts w:cs="Arial"/>
          <w:sz w:val="24"/>
          <w:szCs w:val="24"/>
        </w:rPr>
        <w:t xml:space="preserve"> </w:t>
      </w:r>
    </w:p>
  </w:endnote>
  <w:endnote w:id="44">
    <w:p w14:paraId="7A3A4FBB" w14:textId="3C722F54" w:rsidR="00AC11FB" w:rsidRPr="00D62401" w:rsidRDefault="00AC11FB">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44" w:history="1">
        <w:r w:rsidR="00AA5000" w:rsidRPr="00D62401">
          <w:rPr>
            <w:rStyle w:val="Hyperlink"/>
            <w:rFonts w:cs="Arial"/>
            <w:sz w:val="24"/>
            <w:szCs w:val="24"/>
          </w:rPr>
          <w:t>The Scottish Consolidated Fund Accounts for the year ended 31 March 2022</w:t>
        </w:r>
      </w:hyperlink>
    </w:p>
  </w:endnote>
  <w:endnote w:id="45">
    <w:p w14:paraId="7EE5C975" w14:textId="079CAE31" w:rsidR="00AC11FB" w:rsidRPr="00D62401" w:rsidRDefault="00AC11FB">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45" w:history="1">
        <w:r w:rsidR="00881916">
          <w:rPr>
            <w:rStyle w:val="Hyperlink"/>
            <w:rFonts w:cs="Arial"/>
            <w:sz w:val="24"/>
            <w:szCs w:val="24"/>
          </w:rPr>
          <w:t>The Scottish Government</w:t>
        </w:r>
        <w:r w:rsidR="00AA5000" w:rsidRPr="00D62401">
          <w:rPr>
            <w:rStyle w:val="Hyperlink"/>
            <w:rFonts w:cs="Arial"/>
            <w:sz w:val="24"/>
            <w:szCs w:val="24"/>
          </w:rPr>
          <w:t xml:space="preserve"> Consolidated Accounts: year ended 31 March 2022</w:t>
        </w:r>
      </w:hyperlink>
    </w:p>
  </w:endnote>
  <w:endnote w:id="46">
    <w:p w14:paraId="5756FF94" w14:textId="7BC2FB80" w:rsidR="00C57B2E" w:rsidRPr="00D62401" w:rsidRDefault="00C57B2E" w:rsidP="00C57B2E">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Ramkumar, V. &amp; Shapiro, I. (2011) </w:t>
      </w:r>
      <w:hyperlink r:id="rId46" w:history="1">
        <w:r w:rsidR="00AA5000" w:rsidRPr="00D62401">
          <w:rPr>
            <w:rStyle w:val="Hyperlink"/>
            <w:rFonts w:cs="Arial"/>
            <w:sz w:val="24"/>
            <w:szCs w:val="24"/>
          </w:rPr>
          <w:t>Guide to Transparency in Government Budget Reports: Why are Budget Reports Important, and What Should They Include?,</w:t>
        </w:r>
      </w:hyperlink>
      <w:r w:rsidR="00AA5000" w:rsidRPr="00D62401">
        <w:rPr>
          <w:rFonts w:cs="Arial"/>
          <w:sz w:val="24"/>
          <w:szCs w:val="24"/>
        </w:rPr>
        <w:t xml:space="preserve"> </w:t>
      </w:r>
      <w:r w:rsidRPr="00D62401">
        <w:rPr>
          <w:rFonts w:cs="Arial"/>
          <w:sz w:val="24"/>
          <w:szCs w:val="24"/>
        </w:rPr>
        <w:t>International Budget Partnership</w:t>
      </w:r>
    </w:p>
  </w:endnote>
  <w:endnote w:id="47">
    <w:p w14:paraId="470BB63D" w14:textId="24A48AC9" w:rsidR="00FC3B7D" w:rsidRPr="00D62401" w:rsidRDefault="00FC3B7D" w:rsidP="00FC3B7D">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47" w:history="1">
        <w:r w:rsidR="00AA5000" w:rsidRPr="00D62401">
          <w:rPr>
            <w:rStyle w:val="Hyperlink"/>
            <w:rFonts w:cs="Arial"/>
            <w:sz w:val="24"/>
            <w:szCs w:val="24"/>
          </w:rPr>
          <w:t>Fraser of Allander Institute's Weekly Update: What did we learn from the</w:t>
        </w:r>
        <w:r w:rsidR="00881916">
          <w:rPr>
            <w:rStyle w:val="Hyperlink"/>
            <w:rFonts w:cs="Arial"/>
            <w:sz w:val="24"/>
            <w:szCs w:val="24"/>
          </w:rPr>
          <w:t xml:space="preserve"> Scottish Government</w:t>
        </w:r>
        <w:r w:rsidR="00AA5000" w:rsidRPr="00D62401">
          <w:rPr>
            <w:rStyle w:val="Hyperlink"/>
            <w:rFonts w:cs="Arial"/>
            <w:sz w:val="24"/>
            <w:szCs w:val="24"/>
          </w:rPr>
          <w:t>’s Medium Term Financial Strategy?</w:t>
        </w:r>
      </w:hyperlink>
    </w:p>
  </w:endnote>
  <w:endnote w:id="48">
    <w:p w14:paraId="444D40CE" w14:textId="79B844A8" w:rsidR="00AC11FB" w:rsidRPr="00D62401" w:rsidRDefault="00AC11FB">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The Budget Process Review Group (BPRG) was established by the Scottish </w:t>
      </w:r>
      <w:r w:rsidRPr="005F2C21">
        <w:rPr>
          <w:rFonts w:cs="Arial"/>
          <w:sz w:val="24"/>
          <w:szCs w:val="24"/>
        </w:rPr>
        <w:t>Parliament Finance and Constitution Committee and the</w:t>
      </w:r>
      <w:r w:rsidR="00881916" w:rsidRPr="005F2C21">
        <w:rPr>
          <w:rFonts w:cs="Arial"/>
          <w:sz w:val="24"/>
          <w:szCs w:val="24"/>
        </w:rPr>
        <w:t xml:space="preserve"> Scottish Government</w:t>
      </w:r>
      <w:r w:rsidRPr="005F2C21">
        <w:rPr>
          <w:rFonts w:cs="Arial"/>
          <w:sz w:val="24"/>
          <w:szCs w:val="24"/>
        </w:rPr>
        <w:t xml:space="preserve"> to carry out a fundamental review of the Scottish Parliament’s budget process. Its final report was published in 2017 and included 59 key recommendations to improve the Scottish budget process. See: </w:t>
      </w:r>
      <w:hyperlink r:id="rId48" w:history="1">
        <w:r w:rsidR="005F2C21" w:rsidRPr="005F2C21">
          <w:rPr>
            <w:rStyle w:val="Hyperlink"/>
            <w:sz w:val="24"/>
            <w:szCs w:val="24"/>
          </w:rPr>
          <w:t>Budget Process Review Group Final Report 2017</w:t>
        </w:r>
      </w:hyperlink>
    </w:p>
  </w:endnote>
  <w:endnote w:id="49">
    <w:p w14:paraId="346F6FEE" w14:textId="0C25A435" w:rsidR="00AC11FB" w:rsidRPr="00D62401" w:rsidRDefault="00AC11FB">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r w:rsidR="00AA5000" w:rsidRPr="00D62401">
        <w:rPr>
          <w:rFonts w:cs="Arial"/>
          <w:sz w:val="24"/>
          <w:szCs w:val="24"/>
        </w:rPr>
        <w:t>The</w:t>
      </w:r>
      <w:r w:rsidR="00881916">
        <w:rPr>
          <w:rFonts w:cs="Arial"/>
          <w:sz w:val="24"/>
          <w:szCs w:val="24"/>
        </w:rPr>
        <w:t xml:space="preserve"> Scottish Government</w:t>
      </w:r>
      <w:r w:rsidR="00AA5000" w:rsidRPr="00D62401">
        <w:rPr>
          <w:rFonts w:cs="Arial"/>
          <w:sz w:val="24"/>
          <w:szCs w:val="24"/>
        </w:rPr>
        <w:t xml:space="preserve">'s </w:t>
      </w:r>
      <w:hyperlink r:id="rId49" w:history="1">
        <w:r w:rsidR="00AA5000" w:rsidRPr="00D62401">
          <w:rPr>
            <w:rStyle w:val="Hyperlink"/>
            <w:rFonts w:cs="Arial"/>
            <w:sz w:val="24"/>
            <w:szCs w:val="24"/>
          </w:rPr>
          <w:t>Medium-Term Financial Strategy May 2023</w:t>
        </w:r>
      </w:hyperlink>
    </w:p>
  </w:endnote>
  <w:endnote w:id="50">
    <w:p w14:paraId="275B2A9D" w14:textId="1B192DF1" w:rsidR="00FC3B7D" w:rsidRPr="00D62401" w:rsidRDefault="00FC3B7D" w:rsidP="00FC3B7D">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w:t>
      </w:r>
      <w:r w:rsidRPr="00D62401">
        <w:rPr>
          <w:rStyle w:val="footnoteChar"/>
          <w:rFonts w:cs="Arial"/>
          <w:sz w:val="24"/>
          <w:szCs w:val="24"/>
        </w:rPr>
        <w:t>The question was asked for OBS 2023 if the</w:t>
      </w:r>
      <w:r w:rsidR="00881916">
        <w:rPr>
          <w:rStyle w:val="footnoteChar"/>
          <w:rFonts w:cs="Arial"/>
          <w:sz w:val="24"/>
          <w:szCs w:val="24"/>
        </w:rPr>
        <w:t xml:space="preserve"> Scottish Government</w:t>
      </w:r>
      <w:r w:rsidRPr="00D62401">
        <w:rPr>
          <w:rStyle w:val="footnoteChar"/>
          <w:rFonts w:cs="Arial"/>
          <w:sz w:val="24"/>
          <w:szCs w:val="24"/>
        </w:rPr>
        <w:t>’s Medium-Term Financial Strategy could be considered a pre-budget statement but given that it was published on the same day as the EBP (28/01/21) it couldn’t have been used to encourage debate on the budget in advance of the EBP like a PBS should.</w:t>
      </w:r>
    </w:p>
  </w:endnote>
  <w:endnote w:id="51">
    <w:p w14:paraId="6F7E8473" w14:textId="3004423B" w:rsidR="00FC3B7D" w:rsidRPr="00D62401" w:rsidRDefault="00FC3B7D" w:rsidP="00FC3B7D">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The Budget Process Review Group (BPRG) was established by the Scottish Parliament Finance and Constitution Committee and the</w:t>
      </w:r>
      <w:r w:rsidR="00881916">
        <w:rPr>
          <w:rFonts w:cs="Arial"/>
          <w:sz w:val="24"/>
          <w:szCs w:val="24"/>
        </w:rPr>
        <w:t xml:space="preserve"> Scottish Government</w:t>
      </w:r>
      <w:r w:rsidRPr="00D62401">
        <w:rPr>
          <w:rFonts w:cs="Arial"/>
          <w:sz w:val="24"/>
          <w:szCs w:val="24"/>
        </w:rPr>
        <w:t xml:space="preserve"> to carry out a fundamental review of the Scottish Parliament’s budget process. Its final report was published in 2017 and included 59 key recommendations to improve the Scottish budget process. See: </w:t>
      </w:r>
      <w:hyperlink r:id="rId50" w:history="1">
        <w:r w:rsidR="00D62401" w:rsidRPr="00D62401">
          <w:rPr>
            <w:rStyle w:val="Hyperlink"/>
            <w:sz w:val="24"/>
            <w:szCs w:val="24"/>
          </w:rPr>
          <w:t>Budget Process Review Group Final Report 2017</w:t>
        </w:r>
      </w:hyperlink>
    </w:p>
  </w:endnote>
  <w:endnote w:id="52">
    <w:p w14:paraId="63AC318D" w14:textId="23637E7C" w:rsidR="00FC3B7D" w:rsidRPr="00D62401" w:rsidRDefault="00FC3B7D" w:rsidP="00FC3B7D">
      <w:pPr>
        <w:pStyle w:val="footnote"/>
        <w:rPr>
          <w:rFonts w:cs="Arial"/>
          <w:sz w:val="24"/>
          <w:szCs w:val="24"/>
          <w:lang w:val="en-GB"/>
        </w:rPr>
      </w:pPr>
      <w:r w:rsidRPr="00D62401">
        <w:rPr>
          <w:rStyle w:val="EndnoteReference"/>
          <w:rFonts w:cs="Arial"/>
          <w:sz w:val="24"/>
          <w:szCs w:val="24"/>
        </w:rPr>
        <w:endnoteRef/>
      </w:r>
      <w:r w:rsidRPr="00D62401">
        <w:rPr>
          <w:rFonts w:cs="Arial"/>
          <w:sz w:val="24"/>
          <w:szCs w:val="24"/>
        </w:rPr>
        <w:t xml:space="preserve"> See </w:t>
      </w:r>
      <w:hyperlink r:id="rId51" w:history="1">
        <w:r w:rsidR="00AA5000" w:rsidRPr="00D62401">
          <w:rPr>
            <w:rStyle w:val="Hyperlink"/>
            <w:rFonts w:cs="Arial"/>
            <w:sz w:val="24"/>
            <w:szCs w:val="24"/>
          </w:rPr>
          <w:t>Scotland's Open Government action plan: 2021 to 2025</w:t>
        </w:r>
      </w:hyperlink>
    </w:p>
  </w:endnote>
  <w:endnote w:id="53">
    <w:p w14:paraId="5FF5DF23" w14:textId="77777777" w:rsidR="00FC3B7D" w:rsidRPr="00D62401" w:rsidRDefault="00FC3B7D" w:rsidP="00FC3B7D">
      <w:pPr>
        <w:pStyle w:val="footnote"/>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52" w:history="1">
        <w:r w:rsidRPr="00D62401">
          <w:rPr>
            <w:rStyle w:val="Hyperlink"/>
            <w:rFonts w:cs="Arial"/>
            <w:sz w:val="24"/>
            <w:szCs w:val="24"/>
          </w:rPr>
          <w:t>Progress to May 2023 - Open Government action plan 2021 to 2025 - commitment 1: fiscal openness and transparency - gov.scot (www.gov.scot)</w:t>
        </w:r>
      </w:hyperlink>
    </w:p>
  </w:endnote>
  <w:endnote w:id="54">
    <w:p w14:paraId="767E37A6" w14:textId="2E6D9672" w:rsidR="00FC3B7D" w:rsidRPr="00D62401" w:rsidRDefault="00FC3B7D" w:rsidP="00AA5000">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r w:rsidR="00AA5000" w:rsidRPr="00D62401">
        <w:rPr>
          <w:rFonts w:cs="Arial"/>
          <w:sz w:val="24"/>
          <w:szCs w:val="24"/>
        </w:rPr>
        <w:t>the</w:t>
      </w:r>
      <w:r w:rsidR="00881916">
        <w:rPr>
          <w:rFonts w:cs="Arial"/>
          <w:sz w:val="24"/>
          <w:szCs w:val="24"/>
        </w:rPr>
        <w:t xml:space="preserve"> Scottish Government</w:t>
      </w:r>
      <w:r w:rsidR="00AA5000" w:rsidRPr="00D62401">
        <w:rPr>
          <w:rFonts w:cs="Arial"/>
          <w:sz w:val="24"/>
          <w:szCs w:val="24"/>
        </w:rPr>
        <w:t xml:space="preserve"> </w:t>
      </w:r>
      <w:hyperlink r:id="rId53" w:history="1">
        <w:r w:rsidR="00AA5000" w:rsidRPr="00D62401">
          <w:rPr>
            <w:rStyle w:val="Hyperlink"/>
            <w:rFonts w:cs="Arial"/>
            <w:sz w:val="24"/>
            <w:szCs w:val="24"/>
          </w:rPr>
          <w:t>response to the Equality and Human Rights Budget Advisory Group’s recommendations</w:t>
        </w:r>
      </w:hyperlink>
    </w:p>
  </w:endnote>
  <w:endnote w:id="55">
    <w:p w14:paraId="6329D7C2" w14:textId="2EF1BA39" w:rsidR="00FC3B7D" w:rsidRPr="00546054" w:rsidRDefault="00FC3B7D" w:rsidP="00FC3B7D">
      <w:pPr>
        <w:pStyle w:val="EndnoteText"/>
        <w:rPr>
          <w:rFonts w:cs="Arial"/>
          <w:sz w:val="24"/>
          <w:szCs w:val="24"/>
        </w:rPr>
      </w:pPr>
      <w:r w:rsidRPr="00D62401">
        <w:rPr>
          <w:rStyle w:val="EndnoteReference"/>
          <w:rFonts w:cs="Arial"/>
          <w:sz w:val="24"/>
          <w:szCs w:val="24"/>
        </w:rPr>
        <w:endnoteRef/>
      </w:r>
      <w:r w:rsidRPr="00D62401">
        <w:rPr>
          <w:rFonts w:cs="Arial"/>
          <w:sz w:val="24"/>
          <w:szCs w:val="24"/>
        </w:rPr>
        <w:t xml:space="preserve"> See </w:t>
      </w:r>
      <w:hyperlink r:id="rId54" w:history="1">
        <w:r w:rsidR="00AA5000" w:rsidRPr="00D62401">
          <w:rPr>
            <w:rStyle w:val="Hyperlink"/>
            <w:rFonts w:cs="Arial"/>
            <w:sz w:val="24"/>
            <w:szCs w:val="24"/>
          </w:rPr>
          <w:t>Equality Budget Advisory Group: recommendations for equality and human rights budgeting - 2021-2026 parliamentary session</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19131" w14:textId="77777777" w:rsidR="00BD6CFD" w:rsidRDefault="00BD6CFD" w:rsidP="00BD6CFD">
    <w:pPr>
      <w:pStyle w:val="Footer"/>
      <w:tabs>
        <w:tab w:val="clear" w:pos="4153"/>
        <w:tab w:val="clear" w:pos="8306"/>
        <w:tab w:val="left" w:pos="5057"/>
      </w:tabs>
      <w:spacing w:line="480" w:lineRule="auto"/>
    </w:pPr>
    <w:r>
      <w:rPr>
        <w:noProof/>
      </w:rPr>
      <w:drawing>
        <wp:anchor distT="0" distB="0" distL="114300" distR="114300" simplePos="0" relativeHeight="251760640" behindDoc="0" locked="0" layoutInCell="1" allowOverlap="1" wp14:anchorId="579BBDF8" wp14:editId="0CD3C3A4">
          <wp:simplePos x="0" y="0"/>
          <wp:positionH relativeFrom="rightMargin">
            <wp:posOffset>-213917</wp:posOffset>
          </wp:positionH>
          <wp:positionV relativeFrom="paragraph">
            <wp:posOffset>48636</wp:posOffset>
          </wp:positionV>
          <wp:extent cx="319405" cy="319405"/>
          <wp:effectExtent l="0" t="0" r="4445" b="4445"/>
          <wp:wrapNone/>
          <wp:docPr id="206785544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63712" behindDoc="1" locked="0" layoutInCell="1" allowOverlap="1" wp14:anchorId="33051750" wp14:editId="655C1C65">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3EF369E0" w14:textId="77777777" w:rsidR="00BD6CFD" w:rsidRDefault="00BD6CFD" w:rsidP="00BD6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051750" id="_x0000_t202" coordsize="21600,21600" o:spt="202" path="m,l,21600r21600,l21600,xe">
              <v:stroke joinstyle="miter"/>
              <v:path gradientshapeok="t" o:connecttype="rect"/>
            </v:shapetype>
            <v:shape id="Text Box 2" o:spid="_x0000_s1027" type="#_x0000_t202" alt="&quot;&quot;" style="position:absolute;margin-left:411.8pt;margin-top:-45.3pt;width:463pt;height:44.6pt;z-index:-251552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WQGQIAADMEAAAOAAAAZHJzL2Uyb0RvYy54bWysU02P2yAQvVfqf0DcGztpkma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" filled="f" stroked="f" strokeweight=".5pt">
              <v:textbox>
                <w:txbxContent>
                  <w:p w14:paraId="3EF369E0" w14:textId="77777777" w:rsidR="00BD6CFD" w:rsidRDefault="00BD6CFD" w:rsidP="00BD6CFD"/>
                </w:txbxContent>
              </v:textbox>
              <w10:wrap type="tight" anchorx="margin"/>
            </v:shape>
          </w:pict>
        </mc:Fallback>
      </mc:AlternateContent>
    </w:r>
    <w:sdt>
      <w:sdtPr>
        <w:id w:val="-933972484"/>
        <w:docPartObj>
          <w:docPartGallery w:val="Page Numbers (Bottom of Page)"/>
          <w:docPartUnique/>
        </w:docPartObj>
      </w:sdtPr>
      <w:sdtEndPr>
        <w:rPr>
          <w:b/>
          <w:bCs/>
        </w:rPr>
      </w:sdtEndPr>
      <w:sdtContent>
        <w:r>
          <w:rPr>
            <w:noProof/>
          </w:rPr>
          <w:drawing>
            <wp:anchor distT="0" distB="0" distL="114300" distR="114300" simplePos="0" relativeHeight="251758592" behindDoc="0" locked="0" layoutInCell="1" allowOverlap="1" wp14:anchorId="19BA41B6" wp14:editId="19778FA1">
              <wp:simplePos x="0" y="0"/>
              <wp:positionH relativeFrom="margin">
                <wp:posOffset>5426710</wp:posOffset>
              </wp:positionH>
              <wp:positionV relativeFrom="paragraph">
                <wp:posOffset>75565</wp:posOffset>
              </wp:positionV>
              <wp:extent cx="333375" cy="250190"/>
              <wp:effectExtent l="0" t="0" r="9525" b="0"/>
              <wp:wrapNone/>
              <wp:docPr id="155722856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1ACDC2EC" wp14:editId="62BB8A62">
              <wp:simplePos x="0" y="0"/>
              <wp:positionH relativeFrom="column">
                <wp:posOffset>5243830</wp:posOffset>
              </wp:positionH>
              <wp:positionV relativeFrom="paragraph">
                <wp:posOffset>112395</wp:posOffset>
              </wp:positionV>
              <wp:extent cx="184150" cy="184150"/>
              <wp:effectExtent l="0" t="0" r="6350" b="6350"/>
              <wp:wrapNone/>
              <wp:docPr id="97510971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7568" behindDoc="0" locked="0" layoutInCell="1" allowOverlap="1" wp14:anchorId="4FB8C9B6" wp14:editId="7F1F2B79">
              <wp:simplePos x="0" y="0"/>
              <wp:positionH relativeFrom="column">
                <wp:posOffset>4954905</wp:posOffset>
              </wp:positionH>
              <wp:positionV relativeFrom="paragraph">
                <wp:posOffset>89535</wp:posOffset>
              </wp:positionV>
              <wp:extent cx="229235" cy="229235"/>
              <wp:effectExtent l="0" t="0" r="0" b="0"/>
              <wp:wrapNone/>
              <wp:docPr id="56168112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1664" behindDoc="0" locked="0" layoutInCell="1" allowOverlap="1" wp14:anchorId="69D3B16C" wp14:editId="794A6ECC">
              <wp:simplePos x="0" y="0"/>
              <wp:positionH relativeFrom="column">
                <wp:posOffset>4702987</wp:posOffset>
              </wp:positionH>
              <wp:positionV relativeFrom="paragraph">
                <wp:posOffset>96959</wp:posOffset>
              </wp:positionV>
              <wp:extent cx="219075" cy="219075"/>
              <wp:effectExtent l="0" t="0" r="9525" b="9525"/>
              <wp:wrapNone/>
              <wp:docPr id="194582030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4"/>
            <w:szCs w:val="24"/>
          </w:rPr>
          <mc:AlternateContent>
            <mc:Choice Requires="wps">
              <w:drawing>
                <wp:anchor distT="0" distB="0" distL="114300" distR="114300" simplePos="0" relativeHeight="251762688" behindDoc="0" locked="0" layoutInCell="1" allowOverlap="1" wp14:anchorId="37897DE6" wp14:editId="30AFA8B6">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FA286" id="Straight Connector 2" o:spid="_x0000_s1026" alt="&quot;&quot;" style="position:absolute;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rPr>
              <w:noProof/>
            </w:rPr>
          </w:sdtEndPr>
          <w:sdtContent>
            <w:r w:rsidRPr="00E121E0">
              <w:rPr>
                <w:sz w:val="20"/>
                <w:szCs w:val="20"/>
              </w:rPr>
              <w:t xml:space="preserve">0131 297 5750 </w:t>
            </w:r>
            <w:r>
              <w:rPr>
                <w:sz w:val="20"/>
                <w:szCs w:val="20"/>
              </w:rPr>
              <w:t xml:space="preserve">| </w:t>
            </w:r>
            <w:r w:rsidRPr="007C5ADC">
              <w:rPr>
                <w:sz w:val="20"/>
                <w:szCs w:val="20"/>
              </w:rPr>
              <w:t>hello@scottishhumanrights.com</w:t>
            </w:r>
            <w:r>
              <w:rPr>
                <w:sz w:val="20"/>
                <w:szCs w:val="20"/>
              </w:rPr>
              <w:t xml:space="preserve"> | </w:t>
            </w:r>
            <w:r w:rsidRPr="007C5ADC">
              <w:rPr>
                <w:sz w:val="20"/>
                <w:szCs w:val="20"/>
              </w:rPr>
              <w:t>www.scottishhumanrights.com</w:t>
            </w:r>
            <w:r>
              <w:rPr>
                <w:sz w:val="20"/>
                <w:szCs w:val="20"/>
              </w:rPr>
              <w:t xml:space="preserve"> |  </w:t>
            </w:r>
            <w:r>
              <w:rPr>
                <w:sz w:val="20"/>
                <w:szCs w:val="20"/>
              </w:rPr>
              <w:tab/>
              <w:t xml:space="preserve">         </w:t>
            </w:r>
            <w:r w:rsidRPr="00E121E0">
              <w:rPr>
                <w:sz w:val="20"/>
                <w:szCs w:val="20"/>
              </w:rPr>
              <w:t>Scottish Human Rights Commission, Bridgeside House, 99 McDonald Road, Edinburgh, EH7 4NS</w:t>
            </w:r>
            <w:r>
              <w:rPr>
                <w:sz w:val="20"/>
                <w:szCs w:val="20"/>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5B6A" w14:textId="11776F0D" w:rsidR="00AD0DB3" w:rsidRDefault="00546054" w:rsidP="00546054">
    <w:pPr>
      <w:pStyle w:val="Footer"/>
      <w:tabs>
        <w:tab w:val="clear" w:pos="4153"/>
        <w:tab w:val="clear" w:pos="8306"/>
        <w:tab w:val="left" w:pos="5057"/>
      </w:tabs>
      <w:spacing w:line="480" w:lineRule="auto"/>
    </w:pPr>
    <w:r w:rsidRPr="007B35DC">
      <w:rPr>
        <w:noProof/>
        <w:lang w:eastAsia="en-GB"/>
      </w:rPr>
      <mc:AlternateContent>
        <mc:Choice Requires="wps">
          <w:drawing>
            <wp:anchor distT="0" distB="0" distL="114300" distR="114300" simplePos="0" relativeHeight="251739136" behindDoc="1" locked="0" layoutInCell="1" allowOverlap="1" wp14:anchorId="0010D3BB" wp14:editId="42795822">
              <wp:simplePos x="0" y="0"/>
              <wp:positionH relativeFrom="margin">
                <wp:posOffset>194310</wp:posOffset>
              </wp:positionH>
              <wp:positionV relativeFrom="paragraph">
                <wp:posOffset>3571875</wp:posOffset>
              </wp:positionV>
              <wp:extent cx="5880100" cy="271780"/>
              <wp:effectExtent l="0" t="0" r="0" b="0"/>
              <wp:wrapTight wrapText="bothSides">
                <wp:wrapPolygon edited="0">
                  <wp:start x="210" y="0"/>
                  <wp:lineTo x="210" y="19682"/>
                  <wp:lineTo x="21343" y="19682"/>
                  <wp:lineTo x="21343" y="0"/>
                  <wp:lineTo x="210" y="0"/>
                </wp:wrapPolygon>
              </wp:wrapTight>
              <wp:docPr id="466136303" name="Text Box 466136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271780"/>
                      </a:xfrm>
                      <a:prstGeom prst="rect">
                        <a:avLst/>
                      </a:prstGeom>
                      <a:noFill/>
                      <a:ln w="6350">
                        <a:noFill/>
                      </a:ln>
                    </wps:spPr>
                    <wps:txbx>
                      <w:txbxContent>
                        <w:p w14:paraId="2CC510A7" w14:textId="77777777" w:rsidR="00546054" w:rsidRDefault="00546054" w:rsidP="00546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10D3BB" id="_x0000_t202" coordsize="21600,21600" o:spt="202" path="m,l,21600r21600,l21600,xe">
              <v:stroke joinstyle="miter"/>
              <v:path gradientshapeok="t" o:connecttype="rect"/>
            </v:shapetype>
            <v:shape id="Text Box 466136303" o:spid="_x0000_s1030" type="#_x0000_t202" alt="&quot;&quot;" style="position:absolute;margin-left:15.3pt;margin-top:281.25pt;width:463pt;height:21.4pt;z-index:-251577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A+GwIAADM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" filled="f" stroked="f" strokeweight=".5pt">
              <v:textbox>
                <w:txbxContent>
                  <w:p w14:paraId="2CC510A7" w14:textId="77777777" w:rsidR="00546054" w:rsidRDefault="00546054" w:rsidP="00546054"/>
                </w:txbxContent>
              </v:textbox>
              <w10:wrap type="tight" anchorx="margin"/>
            </v:shape>
          </w:pict>
        </mc:Fallback>
      </mc:AlternateContent>
    </w:r>
    <w:r w:rsidRPr="007B35DC">
      <w:rPr>
        <w:noProof/>
      </w:rPr>
      <w:drawing>
        <wp:anchor distT="0" distB="0" distL="114300" distR="114300" simplePos="0" relativeHeight="251725824" behindDoc="0" locked="0" layoutInCell="1" allowOverlap="1" wp14:anchorId="265699EC" wp14:editId="635BB86A">
          <wp:simplePos x="0" y="0"/>
          <wp:positionH relativeFrom="rightMargin">
            <wp:posOffset>-226358</wp:posOffset>
          </wp:positionH>
          <wp:positionV relativeFrom="paragraph">
            <wp:posOffset>36195</wp:posOffset>
          </wp:positionV>
          <wp:extent cx="319405" cy="319405"/>
          <wp:effectExtent l="0" t="0" r="4445" b="4445"/>
          <wp:wrapNone/>
          <wp:docPr id="100530328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32704720"/>
        <w:docPartObj>
          <w:docPartGallery w:val="Page Numbers (Bottom of Page)"/>
          <w:docPartUnique/>
        </w:docPartObj>
      </w:sdtPr>
      <w:sdtEndPr>
        <w:rPr>
          <w:b/>
          <w:bCs/>
        </w:rPr>
      </w:sdtEndPr>
      <w:sdtContent>
        <w:r w:rsidRPr="007B35DC">
          <w:rPr>
            <w:noProof/>
          </w:rPr>
          <w:drawing>
            <wp:anchor distT="0" distB="0" distL="114300" distR="114300" simplePos="0" relativeHeight="251723776" behindDoc="0" locked="0" layoutInCell="1" allowOverlap="1" wp14:anchorId="50BEB7DD" wp14:editId="3FA06EB4">
              <wp:simplePos x="0" y="0"/>
              <wp:positionH relativeFrom="margin">
                <wp:posOffset>5426710</wp:posOffset>
              </wp:positionH>
              <wp:positionV relativeFrom="paragraph">
                <wp:posOffset>75565</wp:posOffset>
              </wp:positionV>
              <wp:extent cx="333375" cy="250190"/>
              <wp:effectExtent l="0" t="0" r="9525" b="0"/>
              <wp:wrapNone/>
              <wp:docPr id="116168958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24800" behindDoc="0" locked="0" layoutInCell="1" allowOverlap="1" wp14:anchorId="08C3CBEE" wp14:editId="5A732973">
              <wp:simplePos x="0" y="0"/>
              <wp:positionH relativeFrom="column">
                <wp:posOffset>5243830</wp:posOffset>
              </wp:positionH>
              <wp:positionV relativeFrom="paragraph">
                <wp:posOffset>112395</wp:posOffset>
              </wp:positionV>
              <wp:extent cx="184150" cy="184150"/>
              <wp:effectExtent l="0" t="0" r="6350" b="6350"/>
              <wp:wrapNone/>
              <wp:docPr id="143867185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22752" behindDoc="0" locked="0" layoutInCell="1" allowOverlap="1" wp14:anchorId="0F09FF44" wp14:editId="0D92890E">
              <wp:simplePos x="0" y="0"/>
              <wp:positionH relativeFrom="column">
                <wp:posOffset>4954905</wp:posOffset>
              </wp:positionH>
              <wp:positionV relativeFrom="paragraph">
                <wp:posOffset>89535</wp:posOffset>
              </wp:positionV>
              <wp:extent cx="229235" cy="229235"/>
              <wp:effectExtent l="0" t="0" r="0" b="0"/>
              <wp:wrapNone/>
              <wp:docPr id="5211835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26848" behindDoc="0" locked="0" layoutInCell="1" allowOverlap="1" wp14:anchorId="49A09E26" wp14:editId="31DFFD42">
              <wp:simplePos x="0" y="0"/>
              <wp:positionH relativeFrom="column">
                <wp:posOffset>4702987</wp:posOffset>
              </wp:positionH>
              <wp:positionV relativeFrom="paragraph">
                <wp:posOffset>96959</wp:posOffset>
              </wp:positionV>
              <wp:extent cx="219075" cy="219075"/>
              <wp:effectExtent l="0" t="0" r="9525" b="9525"/>
              <wp:wrapNone/>
              <wp:docPr id="106977677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b/>
            <w:bCs/>
            <w:noProof/>
            <w:sz w:val="24"/>
            <w:szCs w:val="24"/>
          </w:rPr>
          <mc:AlternateContent>
            <mc:Choice Requires="wps">
              <w:drawing>
                <wp:anchor distT="0" distB="0" distL="114300" distR="114300" simplePos="0" relativeHeight="251727872" behindDoc="0" locked="0" layoutInCell="1" allowOverlap="1" wp14:anchorId="7903A491" wp14:editId="1BCD357B">
                  <wp:simplePos x="0" y="0"/>
                  <wp:positionH relativeFrom="margin">
                    <wp:posOffset>-280045</wp:posOffset>
                  </wp:positionH>
                  <wp:positionV relativeFrom="paragraph">
                    <wp:posOffset>-102990</wp:posOffset>
                  </wp:positionV>
                  <wp:extent cx="6223000" cy="6350"/>
                  <wp:effectExtent l="0" t="0" r="25400" b="31750"/>
                  <wp:wrapNone/>
                  <wp:docPr id="94085553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5606B" id="Straight Connector 2" o:spid="_x0000_s1026" alt="&quot;&quot;"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648016732"/>
            <w:docPartObj>
              <w:docPartGallery w:val="Page Numbers (Bottom of Page)"/>
              <w:docPartUnique/>
            </w:docPartObj>
          </w:sdtPr>
          <w:sdtEndPr>
            <w:rPr>
              <w:noProof/>
            </w:rPr>
          </w:sdtEndPr>
          <w:sdtContent>
            <w:r w:rsidRPr="007B35DC">
              <w:rPr>
                <w:sz w:val="20"/>
                <w:szCs w:val="20"/>
              </w:rPr>
              <w:t xml:space="preserve">0131 297 5750 | hello@scottishhumanrights.com | www.scottishhumanrights.com |  </w:t>
            </w:r>
            <w:r w:rsidRPr="007B35DC">
              <w:rPr>
                <w:sz w:val="20"/>
                <w:szCs w:val="20"/>
              </w:rPr>
              <w:tab/>
              <w:t xml:space="preserve">         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024FF" w14:textId="77777777" w:rsidR="00513519" w:rsidRDefault="00513519" w:rsidP="003D1E2D">
      <w:r>
        <w:separator/>
      </w:r>
    </w:p>
    <w:p w14:paraId="36480E26" w14:textId="77777777" w:rsidR="00513519" w:rsidRDefault="00513519" w:rsidP="003D1E2D"/>
  </w:footnote>
  <w:footnote w:type="continuationSeparator" w:id="0">
    <w:p w14:paraId="7275FF3E" w14:textId="77777777" w:rsidR="00513519" w:rsidRDefault="00513519" w:rsidP="003D1E2D">
      <w:r>
        <w:continuationSeparator/>
      </w:r>
    </w:p>
    <w:p w14:paraId="33CDE58F" w14:textId="77777777" w:rsidR="00513519" w:rsidRDefault="00513519"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DC9B3" w14:textId="3D85E40A" w:rsidR="00546054" w:rsidRDefault="0033343E">
    <w:pPr>
      <w:pStyle w:val="Header"/>
      <w:jc w:val="right"/>
    </w:pPr>
    <w:r>
      <w:rPr>
        <w:noProof/>
        <w:lang w:eastAsia="en-GB"/>
      </w:rPr>
      <mc:AlternateContent>
        <mc:Choice Requires="wps">
          <w:drawing>
            <wp:anchor distT="0" distB="0" distL="114300" distR="114300" simplePos="0" relativeHeight="251769856" behindDoc="1" locked="0" layoutInCell="1" allowOverlap="1" wp14:anchorId="09DF0501" wp14:editId="2E3A031D">
              <wp:simplePos x="0" y="0"/>
              <wp:positionH relativeFrom="page">
                <wp:posOffset>804936</wp:posOffset>
              </wp:positionH>
              <wp:positionV relativeFrom="paragraph">
                <wp:posOffset>322775</wp:posOffset>
              </wp:positionV>
              <wp:extent cx="5880100" cy="201930"/>
              <wp:effectExtent l="0" t="0" r="0" b="7620"/>
              <wp:wrapTight wrapText="bothSides">
                <wp:wrapPolygon edited="0">
                  <wp:start x="210" y="0"/>
                  <wp:lineTo x="210" y="20377"/>
                  <wp:lineTo x="21343" y="20377"/>
                  <wp:lineTo x="21343" y="0"/>
                  <wp:lineTo x="210" y="0"/>
                </wp:wrapPolygon>
              </wp:wrapTight>
              <wp:docPr id="1488613272" name="Text Box 1488613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201930"/>
                      </a:xfrm>
                      <a:prstGeom prst="rect">
                        <a:avLst/>
                      </a:prstGeom>
                      <a:noFill/>
                      <a:ln w="6350">
                        <a:noFill/>
                      </a:ln>
                    </wps:spPr>
                    <wps:txbx>
                      <w:txbxContent>
                        <w:p w14:paraId="5EB14E6F" w14:textId="77777777" w:rsidR="00B70CB7" w:rsidRDefault="00B70CB7" w:rsidP="00B70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DF0501" id="_x0000_t202" coordsize="21600,21600" o:spt="202" path="m,l,21600r21600,l21600,xe">
              <v:stroke joinstyle="miter"/>
              <v:path gradientshapeok="t" o:connecttype="rect"/>
            </v:shapetype>
            <v:shape id="Text Box 1488613272" o:spid="_x0000_s1026" type="#_x0000_t202" alt="&quot;&quot;" style="position:absolute;left:0;text-align:left;margin-left:63.4pt;margin-top:25.4pt;width:463pt;height:15.9pt;z-index:-251546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" filled="f" stroked="f" strokeweight=".5pt">
              <v:textbox>
                <w:txbxContent>
                  <w:p w14:paraId="5EB14E6F" w14:textId="77777777" w:rsidR="00B70CB7" w:rsidRDefault="00B70CB7" w:rsidP="00B70CB7"/>
                </w:txbxContent>
              </v:textbox>
              <w10:wrap type="tight" anchorx="page"/>
            </v:shape>
          </w:pict>
        </mc:Fallback>
      </mc:AlternateContent>
    </w:r>
    <w:r w:rsidR="00D61D12" w:rsidRPr="008F6182">
      <w:rPr>
        <w:noProof/>
        <w:lang w:eastAsia="en-GB"/>
      </w:rPr>
      <mc:AlternateContent>
        <mc:Choice Requires="wps">
          <w:drawing>
            <wp:anchor distT="0" distB="0" distL="114300" distR="114300" simplePos="0" relativeHeight="251755520" behindDoc="0" locked="0" layoutInCell="1" allowOverlap="1" wp14:anchorId="48B902A5" wp14:editId="78062B37">
              <wp:simplePos x="0" y="0"/>
              <wp:positionH relativeFrom="column">
                <wp:posOffset>-828947</wp:posOffset>
              </wp:positionH>
              <wp:positionV relativeFrom="paragraph">
                <wp:posOffset>-455568</wp:posOffset>
              </wp:positionV>
              <wp:extent cx="92075" cy="10859770"/>
              <wp:effectExtent l="0" t="0" r="3175" b="0"/>
              <wp:wrapNone/>
              <wp:docPr id="929950560" name="Rectangle 929950560" title="Decorative border"/>
              <wp:cNvGraphicFramePr/>
              <a:graphic xmlns:a="http://schemas.openxmlformats.org/drawingml/2006/main">
                <a:graphicData uri="http://schemas.microsoft.com/office/word/2010/wordprocessingShape">
                  <wps:wsp>
                    <wps:cNvSpPr/>
                    <wps:spPr>
                      <a:xfrm>
                        <a:off x="0" y="0"/>
                        <a:ext cx="92075" cy="10859770"/>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5F6A" id="Rectangle 929950560" o:spid="_x0000_s1026" alt="Title: Decorative border" style="position:absolute;margin-left:-65.25pt;margin-top:-35.85pt;width:7.25pt;height:855.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" fillcolor="#8baddc" stroked="f" strokeweight="1pt"/>
          </w:pict>
        </mc:Fallback>
      </mc:AlternateContent>
    </w:r>
    <w:r w:rsidR="00571D1C" w:rsidRPr="008F6182">
      <w:rPr>
        <w:noProof/>
        <w:lang w:eastAsia="en-GB"/>
      </w:rPr>
      <mc:AlternateContent>
        <mc:Choice Requires="wps">
          <w:drawing>
            <wp:anchor distT="0" distB="0" distL="114300" distR="114300" simplePos="0" relativeHeight="251669501" behindDoc="0" locked="0" layoutInCell="1" allowOverlap="1" wp14:anchorId="4242F083" wp14:editId="024248F0">
              <wp:simplePos x="0" y="0"/>
              <wp:positionH relativeFrom="column">
                <wp:posOffset>-780627</wp:posOffset>
              </wp:positionH>
              <wp:positionV relativeFrom="paragraph">
                <wp:posOffset>-582295</wp:posOffset>
              </wp:positionV>
              <wp:extent cx="119380" cy="10838815"/>
              <wp:effectExtent l="0" t="0" r="0" b="635"/>
              <wp:wrapNone/>
              <wp:docPr id="1029273320" name="Rectangle 1029273320"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F2E05" id="Rectangle 1029273320" o:spid="_x0000_s1026" alt="Title: Decorative border" style="position:absolute;margin-left:-61.45pt;margin-top:-45.85pt;width:9.4pt;height:853.45pt;z-index:251669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" fillcolor="#0069b4" stroked="f" strokeweight="1pt"/>
          </w:pict>
        </mc:Fallback>
      </mc:AlternateContent>
    </w:r>
    <w:r w:rsidR="00571D1C" w:rsidRPr="008F6182">
      <w:rPr>
        <w:noProof/>
        <w:lang w:eastAsia="en-GB"/>
      </w:rPr>
      <mc:AlternateContent>
        <mc:Choice Requires="wps">
          <w:drawing>
            <wp:anchor distT="0" distB="0" distL="114300" distR="114300" simplePos="0" relativeHeight="251753472" behindDoc="0" locked="0" layoutInCell="1" allowOverlap="1" wp14:anchorId="2C6C008F" wp14:editId="59B836B9">
              <wp:simplePos x="0" y="0"/>
              <wp:positionH relativeFrom="page">
                <wp:align>left</wp:align>
              </wp:positionH>
              <wp:positionV relativeFrom="paragraph">
                <wp:posOffset>-618066</wp:posOffset>
              </wp:positionV>
              <wp:extent cx="119380" cy="10838815"/>
              <wp:effectExtent l="0" t="0" r="0" b="635"/>
              <wp:wrapNone/>
              <wp:docPr id="2055657081" name="Rectangle 2055657081"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480B" id="Rectangle 2055657081" o:spid="_x0000_s1026" alt="Title: Decorative border" style="position:absolute;margin-left:0;margin-top:-48.65pt;width:9.4pt;height:853.45pt;z-index:2517534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" fillcolor="#0b1c32" stroked="f" strokeweight="1pt">
              <w10:wrap anchorx="page"/>
            </v:rect>
          </w:pict>
        </mc:Fallback>
      </mc:AlternateContent>
    </w:r>
    <w:sdt>
      <w:sdtPr>
        <w:id w:val="1756162659"/>
        <w:docPartObj>
          <w:docPartGallery w:val="Page Numbers (Top of Page)"/>
          <w:docPartUnique/>
        </w:docPartObj>
      </w:sdtPr>
      <w:sdtEndPr/>
      <w:sdtContent>
        <w:r w:rsidR="00546054">
          <w:fldChar w:fldCharType="begin"/>
        </w:r>
        <w:r w:rsidR="00546054">
          <w:instrText>PAGE   \* MERGEFORMAT</w:instrText>
        </w:r>
        <w:r w:rsidR="00546054">
          <w:fldChar w:fldCharType="separate"/>
        </w:r>
        <w:r w:rsidR="00546054">
          <w:t>2</w:t>
        </w:r>
        <w:r w:rsidR="00546054">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1AE6" w14:textId="77FD698C" w:rsidR="008F6182" w:rsidRDefault="00302A27" w:rsidP="008F6182">
    <w:pPr>
      <w:pStyle w:val="Header"/>
    </w:pPr>
    <w:r w:rsidRPr="008F6182">
      <w:rPr>
        <w:noProof/>
        <w:lang w:eastAsia="en-GB"/>
      </w:rPr>
      <mc:AlternateContent>
        <mc:Choice Requires="wps">
          <w:drawing>
            <wp:anchor distT="0" distB="0" distL="114300" distR="114300" simplePos="0" relativeHeight="251751424" behindDoc="0" locked="0" layoutInCell="1" allowOverlap="1" wp14:anchorId="3EF40D9F" wp14:editId="2BAD319B">
              <wp:simplePos x="0" y="0"/>
              <wp:positionH relativeFrom="column">
                <wp:posOffset>-834692</wp:posOffset>
              </wp:positionH>
              <wp:positionV relativeFrom="paragraph">
                <wp:posOffset>-621966</wp:posOffset>
              </wp:positionV>
              <wp:extent cx="92075" cy="10859770"/>
              <wp:effectExtent l="0" t="0" r="3175" b="0"/>
              <wp:wrapNone/>
              <wp:docPr id="798851325" name="Rectangle 798851325" title="Decorative border"/>
              <wp:cNvGraphicFramePr/>
              <a:graphic xmlns:a="http://schemas.openxmlformats.org/drawingml/2006/main">
                <a:graphicData uri="http://schemas.microsoft.com/office/word/2010/wordprocessingShape">
                  <wps:wsp>
                    <wps:cNvSpPr/>
                    <wps:spPr>
                      <a:xfrm>
                        <a:off x="0" y="0"/>
                        <a:ext cx="92075" cy="10859770"/>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294A2" id="Rectangle 798851325" o:spid="_x0000_s1026" alt="Title: Decorative border" style="position:absolute;margin-left:-65.7pt;margin-top:-48.95pt;width:7.25pt;height:855.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" fillcolor="#8baddc" stroked="f" strokeweight="1pt"/>
          </w:pict>
        </mc:Fallback>
      </mc:AlternateContent>
    </w:r>
    <w:r w:rsidR="001314C0" w:rsidRPr="00307EC7">
      <w:rPr>
        <w:noProof/>
        <w:lang w:eastAsia="en-GB"/>
      </w:rPr>
      <mc:AlternateContent>
        <mc:Choice Requires="wps">
          <w:drawing>
            <wp:anchor distT="0" distB="0" distL="114300" distR="114300" simplePos="0" relativeHeight="251677696" behindDoc="0" locked="0" layoutInCell="1" allowOverlap="1" wp14:anchorId="53E26A89" wp14:editId="10D8B868">
              <wp:simplePos x="0" y="0"/>
              <wp:positionH relativeFrom="page">
                <wp:posOffset>-139485</wp:posOffset>
              </wp:positionH>
              <wp:positionV relativeFrom="paragraph">
                <wp:posOffset>-263471</wp:posOffset>
              </wp:positionV>
              <wp:extent cx="7981627" cy="1206500"/>
              <wp:effectExtent l="0" t="0" r="635" b="0"/>
              <wp:wrapNone/>
              <wp:docPr id="5" name="Rectangle 5" title="Decorative border"/>
              <wp:cNvGraphicFramePr/>
              <a:graphic xmlns:a="http://schemas.openxmlformats.org/drawingml/2006/main">
                <a:graphicData uri="http://schemas.microsoft.com/office/word/2010/wordprocessingShape">
                  <wps:wsp>
                    <wps:cNvSpPr/>
                    <wps:spPr>
                      <a:xfrm>
                        <a:off x="0" y="0"/>
                        <a:ext cx="7981627"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F35E7" w14:textId="77777777" w:rsidR="008F6182" w:rsidRDefault="008F6182" w:rsidP="008F6182">
                          <w:pPr>
                            <w:spacing w:before="0" w:after="0" w:line="240" w:lineRule="auto"/>
                            <w:ind w:right="1174"/>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26A89" id="Rectangle 5" o:spid="_x0000_s1028" alt="Title: Decorative border" style="position:absolute;margin-left:-11pt;margin-top:-20.75pt;width:628.45pt;height: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" fillcolor="#0b1c32" stroked="f" strokeweight="1pt">
              <v:textbox>
                <w:txbxContent>
                  <w:p w14:paraId="330F35E7" w14:textId="77777777" w:rsidR="008F6182" w:rsidRDefault="008F6182" w:rsidP="008F6182">
                    <w:pPr>
                      <w:spacing w:before="0" w:after="0" w:line="240" w:lineRule="auto"/>
                      <w:ind w:right="1174"/>
                      <w:jc w:val="right"/>
                    </w:pPr>
                  </w:p>
                </w:txbxContent>
              </v:textbox>
              <w10:wrap anchorx="page"/>
            </v:rect>
          </w:pict>
        </mc:Fallback>
      </mc:AlternateContent>
    </w:r>
    <w:r w:rsidR="00D84620">
      <w:rPr>
        <w:noProof/>
        <w:lang w:eastAsia="en-GB"/>
      </w:rPr>
      <w:drawing>
        <wp:anchor distT="0" distB="0" distL="114300" distR="114300" simplePos="0" relativeHeight="251687936" behindDoc="0" locked="0" layoutInCell="1" allowOverlap="1" wp14:anchorId="3F8300B5" wp14:editId="4651648E">
          <wp:simplePos x="0" y="0"/>
          <wp:positionH relativeFrom="column">
            <wp:posOffset>3323590</wp:posOffset>
          </wp:positionH>
          <wp:positionV relativeFrom="paragraph">
            <wp:posOffset>-154940</wp:posOffset>
          </wp:positionV>
          <wp:extent cx="3164205" cy="1015365"/>
          <wp:effectExtent l="0" t="0" r="0" b="0"/>
          <wp:wrapNone/>
          <wp:docPr id="547345822" name="Picture 547345822" descr="Human Rights Budget Work: What, Why and 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69561" name="Picture 609669561" descr="Human Rights Budget Work: What, Why and How?"/>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4205" cy="1015365"/>
                  </a:xfrm>
                  <a:prstGeom prst="rect">
                    <a:avLst/>
                  </a:prstGeom>
                </pic:spPr>
              </pic:pic>
            </a:graphicData>
          </a:graphic>
        </wp:anchor>
      </w:drawing>
    </w:r>
    <w:r w:rsidR="00E74B9F">
      <w:rPr>
        <w:noProof/>
        <w:lang w:eastAsia="en-GB"/>
      </w:rPr>
      <mc:AlternateContent>
        <mc:Choice Requires="wps">
          <w:drawing>
            <wp:anchor distT="45720" distB="45720" distL="114300" distR="114300" simplePos="0" relativeHeight="251683840" behindDoc="0" locked="0" layoutInCell="1" allowOverlap="1" wp14:anchorId="263BE197" wp14:editId="124A454D">
              <wp:simplePos x="0" y="0"/>
              <wp:positionH relativeFrom="column">
                <wp:posOffset>19050</wp:posOffset>
              </wp:positionH>
              <wp:positionV relativeFrom="paragraph">
                <wp:posOffset>584200</wp:posOffset>
              </wp:positionV>
              <wp:extent cx="5867400" cy="367665"/>
              <wp:effectExtent l="0" t="0" r="0" b="0"/>
              <wp:wrapSquare wrapText="bothSides"/>
              <wp:docPr id="217" name="Text Box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7665"/>
                      </a:xfrm>
                      <a:prstGeom prst="rect">
                        <a:avLst/>
                      </a:prstGeom>
                      <a:noFill/>
                      <a:ln w="9525">
                        <a:noFill/>
                        <a:miter lim="800000"/>
                        <a:headEnd/>
                        <a:tailEnd/>
                      </a:ln>
                    </wps:spPr>
                    <wps:txbx>
                      <w:txbxContent>
                        <w:p w14:paraId="70E018D9" w14:textId="77777777" w:rsidR="00E74B9F" w:rsidRDefault="00E74B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BE197" id="_x0000_t202" coordsize="21600,21600" o:spt="202" path="m,l,21600r21600,l21600,xe">
              <v:stroke joinstyle="miter"/>
              <v:path gradientshapeok="t" o:connecttype="rect"/>
            </v:shapetype>
            <v:shape id="_x0000_s1029" type="#_x0000_t202" alt="&quot;&quot;" style="position:absolute;margin-left:1.5pt;margin-top:46pt;width:462pt;height:28.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" filled="f" stroked="f">
              <v:textbox>
                <w:txbxContent>
                  <w:p w14:paraId="70E018D9" w14:textId="77777777" w:rsidR="00E74B9F" w:rsidRDefault="00E74B9F">
                    <w:r>
                      <w:t xml:space="preserve"> </w:t>
                    </w:r>
                  </w:p>
                </w:txbxContent>
              </v:textbox>
              <w10:wrap type="square"/>
            </v:shape>
          </w:pict>
        </mc:Fallback>
      </mc:AlternateContent>
    </w:r>
    <w:r w:rsidR="008F6182" w:rsidRPr="008F6182">
      <w:rPr>
        <w:noProof/>
        <w:lang w:eastAsia="en-GB"/>
      </w:rPr>
      <mc:AlternateContent>
        <mc:Choice Requires="wps">
          <w:drawing>
            <wp:anchor distT="0" distB="0" distL="114300" distR="114300" simplePos="0" relativeHeight="251681792" behindDoc="0" locked="0" layoutInCell="1" allowOverlap="1" wp14:anchorId="508D2445" wp14:editId="0291111D">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BFC70" id="Rectangle 14" o:spid="_x0000_s1026" alt="Title: Decorative border" style="position:absolute;margin-left:-63pt;margin-top:-36.25pt;width:9.4pt;height:85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" fillcolor="#0069b4" stroked="f" strokeweight="1pt"/>
          </w:pict>
        </mc:Fallback>
      </mc:AlternateContent>
    </w:r>
    <w:r w:rsidR="008F6182" w:rsidRPr="008F6182">
      <w:rPr>
        <w:noProof/>
        <w:lang w:eastAsia="en-GB"/>
      </w:rPr>
      <mc:AlternateContent>
        <mc:Choice Requires="wps">
          <w:drawing>
            <wp:anchor distT="0" distB="0" distL="114300" distR="114300" simplePos="0" relativeHeight="251680768" behindDoc="0" locked="0" layoutInCell="1" allowOverlap="1" wp14:anchorId="35E15EC2" wp14:editId="279E64E3">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701F4" id="Rectangle 13" o:spid="_x0000_s1026" alt="Title: Decorative border" style="position:absolute;margin-left:-1in;margin-top:-35.75pt;width:9.4pt;height:85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" fillcolor="#0b1c32" stroked="f" strokeweight="1pt"/>
          </w:pict>
        </mc:Fallback>
      </mc:AlternateContent>
    </w:r>
    <w:r w:rsidR="008F6182">
      <w:rPr>
        <w:noProof/>
        <w:lang w:eastAsia="en-GB"/>
      </w:rPr>
      <w:drawing>
        <wp:anchor distT="0" distB="0" distL="114300" distR="114300" simplePos="0" relativeHeight="251678720" behindDoc="1" locked="0" layoutInCell="1" allowOverlap="1" wp14:anchorId="055577DC" wp14:editId="652716B1">
          <wp:simplePos x="0" y="0"/>
          <wp:positionH relativeFrom="column">
            <wp:posOffset>-69850</wp:posOffset>
          </wp:positionH>
          <wp:positionV relativeFrom="paragraph">
            <wp:posOffset>-120650</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1158741657" name="Picture 1158741657"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Scottish Human Rights Commiss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p>
  <w:p w14:paraId="6552B42E" w14:textId="101A9F88" w:rsidR="008F6182" w:rsidRDefault="008F6182" w:rsidP="00E74B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04E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D29F5"/>
    <w:multiLevelType w:val="hybridMultilevel"/>
    <w:tmpl w:val="8BDA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36B57"/>
    <w:multiLevelType w:val="hybridMultilevel"/>
    <w:tmpl w:val="5B2E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A1074"/>
    <w:multiLevelType w:val="hybridMultilevel"/>
    <w:tmpl w:val="C4E8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C6734"/>
    <w:multiLevelType w:val="hybridMultilevel"/>
    <w:tmpl w:val="2B1A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C570A"/>
    <w:multiLevelType w:val="hybridMultilevel"/>
    <w:tmpl w:val="E196C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4E1DA5"/>
    <w:multiLevelType w:val="hybridMultilevel"/>
    <w:tmpl w:val="DC2C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F101F"/>
    <w:multiLevelType w:val="hybridMultilevel"/>
    <w:tmpl w:val="3B54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9185A"/>
    <w:multiLevelType w:val="hybridMultilevel"/>
    <w:tmpl w:val="DBDE5CEC"/>
    <w:lvl w:ilvl="0" w:tplc="4678B8DC">
      <w:start w:val="1"/>
      <w:numFmt w:val="decimal"/>
      <w:pStyle w:val="Num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234C3"/>
    <w:multiLevelType w:val="hybridMultilevel"/>
    <w:tmpl w:val="A296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D2724"/>
    <w:multiLevelType w:val="hybridMultilevel"/>
    <w:tmpl w:val="A002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F711B"/>
    <w:multiLevelType w:val="hybridMultilevel"/>
    <w:tmpl w:val="C2A2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6210B"/>
    <w:multiLevelType w:val="hybridMultilevel"/>
    <w:tmpl w:val="4406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E0D86"/>
    <w:multiLevelType w:val="hybridMultilevel"/>
    <w:tmpl w:val="F744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86688"/>
    <w:multiLevelType w:val="hybridMultilevel"/>
    <w:tmpl w:val="2B3E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A7209"/>
    <w:multiLevelType w:val="hybridMultilevel"/>
    <w:tmpl w:val="C37285E6"/>
    <w:lvl w:ilvl="0" w:tplc="F80C7A46">
      <w:numFmt w:val="bullet"/>
      <w:lvlText w:val="•"/>
      <w:lvlJc w:val="left"/>
      <w:pPr>
        <w:ind w:left="360" w:hanging="360"/>
      </w:pPr>
      <w:rPr>
        <w:rFonts w:ascii="Calibri" w:eastAsia="Calibri" w:hAnsi="Calibri" w:cs="Calibri" w:hint="default"/>
      </w:rPr>
    </w:lvl>
    <w:lvl w:ilvl="1" w:tplc="5F6E8592">
      <w:start w:val="1"/>
      <w:numFmt w:val="bullet"/>
      <w:pStyle w:val="Bullet1"/>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F813E57"/>
    <w:multiLevelType w:val="hybridMultilevel"/>
    <w:tmpl w:val="88A8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D2018"/>
    <w:multiLevelType w:val="hybridMultilevel"/>
    <w:tmpl w:val="EC1E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12D3A"/>
    <w:multiLevelType w:val="hybridMultilevel"/>
    <w:tmpl w:val="81F8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C80F1C"/>
    <w:multiLevelType w:val="hybridMultilevel"/>
    <w:tmpl w:val="C0E4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D25D6"/>
    <w:multiLevelType w:val="hybridMultilevel"/>
    <w:tmpl w:val="73C6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46E63"/>
    <w:multiLevelType w:val="hybridMultilevel"/>
    <w:tmpl w:val="11AEB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3F3F42"/>
    <w:multiLevelType w:val="hybridMultilevel"/>
    <w:tmpl w:val="3288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035F9"/>
    <w:multiLevelType w:val="hybridMultilevel"/>
    <w:tmpl w:val="BF66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6" w15:restartNumberingAfterBreak="0">
    <w:nsid w:val="680C69CC"/>
    <w:multiLevelType w:val="multilevel"/>
    <w:tmpl w:val="5CDCC258"/>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F20258"/>
    <w:multiLevelType w:val="hybridMultilevel"/>
    <w:tmpl w:val="4D5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E501D"/>
    <w:multiLevelType w:val="hybridMultilevel"/>
    <w:tmpl w:val="5C2A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AD791C"/>
    <w:multiLevelType w:val="hybridMultilevel"/>
    <w:tmpl w:val="CD54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269403">
    <w:abstractNumId w:val="25"/>
  </w:num>
  <w:num w:numId="2" w16cid:durableId="2142073415">
    <w:abstractNumId w:val="1"/>
  </w:num>
  <w:num w:numId="3" w16cid:durableId="2080593399">
    <w:abstractNumId w:val="26"/>
  </w:num>
  <w:num w:numId="4" w16cid:durableId="1295404720">
    <w:abstractNumId w:val="0"/>
  </w:num>
  <w:num w:numId="5" w16cid:durableId="697774780">
    <w:abstractNumId w:val="9"/>
  </w:num>
  <w:num w:numId="6" w16cid:durableId="1201625377">
    <w:abstractNumId w:val="6"/>
  </w:num>
  <w:num w:numId="7" w16cid:durableId="113141236">
    <w:abstractNumId w:val="16"/>
  </w:num>
  <w:num w:numId="8" w16cid:durableId="1292322375">
    <w:abstractNumId w:val="10"/>
  </w:num>
  <w:num w:numId="9" w16cid:durableId="1074935310">
    <w:abstractNumId w:val="15"/>
  </w:num>
  <w:num w:numId="10" w16cid:durableId="1184173020">
    <w:abstractNumId w:val="3"/>
  </w:num>
  <w:num w:numId="11" w16cid:durableId="192038900">
    <w:abstractNumId w:val="17"/>
  </w:num>
  <w:num w:numId="12" w16cid:durableId="722370298">
    <w:abstractNumId w:val="21"/>
  </w:num>
  <w:num w:numId="13" w16cid:durableId="1473673181">
    <w:abstractNumId w:val="4"/>
  </w:num>
  <w:num w:numId="14" w16cid:durableId="1522478150">
    <w:abstractNumId w:val="13"/>
  </w:num>
  <w:num w:numId="15" w16cid:durableId="756482450">
    <w:abstractNumId w:val="27"/>
  </w:num>
  <w:num w:numId="16" w16cid:durableId="221798972">
    <w:abstractNumId w:val="19"/>
  </w:num>
  <w:num w:numId="17" w16cid:durableId="1023821533">
    <w:abstractNumId w:val="22"/>
  </w:num>
  <w:num w:numId="18" w16cid:durableId="575481738">
    <w:abstractNumId w:val="5"/>
  </w:num>
  <w:num w:numId="19" w16cid:durableId="20938578">
    <w:abstractNumId w:val="20"/>
  </w:num>
  <w:num w:numId="20" w16cid:durableId="381828630">
    <w:abstractNumId w:val="7"/>
  </w:num>
  <w:num w:numId="21" w16cid:durableId="612977566">
    <w:abstractNumId w:val="11"/>
  </w:num>
  <w:num w:numId="22" w16cid:durableId="2041203635">
    <w:abstractNumId w:val="23"/>
  </w:num>
  <w:num w:numId="23" w16cid:durableId="1212766208">
    <w:abstractNumId w:val="12"/>
  </w:num>
  <w:num w:numId="24" w16cid:durableId="1368725897">
    <w:abstractNumId w:val="14"/>
  </w:num>
  <w:num w:numId="25" w16cid:durableId="392702838">
    <w:abstractNumId w:val="2"/>
  </w:num>
  <w:num w:numId="26" w16cid:durableId="1751853626">
    <w:abstractNumId w:val="8"/>
  </w:num>
  <w:num w:numId="27" w16cid:durableId="1259557335">
    <w:abstractNumId w:val="24"/>
  </w:num>
  <w:num w:numId="28" w16cid:durableId="1071078784">
    <w:abstractNumId w:val="18"/>
  </w:num>
  <w:num w:numId="29" w16cid:durableId="1643535308">
    <w:abstractNumId w:val="29"/>
  </w:num>
  <w:num w:numId="30" w16cid:durableId="83252878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D"/>
    <w:rsid w:val="00003F31"/>
    <w:rsid w:val="00010F28"/>
    <w:rsid w:val="000179E0"/>
    <w:rsid w:val="00022F89"/>
    <w:rsid w:val="00027C27"/>
    <w:rsid w:val="000310A1"/>
    <w:rsid w:val="000361A8"/>
    <w:rsid w:val="00041570"/>
    <w:rsid w:val="00044C1F"/>
    <w:rsid w:val="000521DA"/>
    <w:rsid w:val="00054834"/>
    <w:rsid w:val="00063596"/>
    <w:rsid w:val="0006409D"/>
    <w:rsid w:val="00066531"/>
    <w:rsid w:val="00084523"/>
    <w:rsid w:val="000938E4"/>
    <w:rsid w:val="000A35BE"/>
    <w:rsid w:val="000A7786"/>
    <w:rsid w:val="000B19F8"/>
    <w:rsid w:val="000B67E4"/>
    <w:rsid w:val="000C0CF4"/>
    <w:rsid w:val="000C180B"/>
    <w:rsid w:val="000C75F8"/>
    <w:rsid w:val="000D63DF"/>
    <w:rsid w:val="000E0D6C"/>
    <w:rsid w:val="000E44A4"/>
    <w:rsid w:val="000F0EE2"/>
    <w:rsid w:val="000F1540"/>
    <w:rsid w:val="000F6FE8"/>
    <w:rsid w:val="00106A41"/>
    <w:rsid w:val="001159D5"/>
    <w:rsid w:val="00115F4B"/>
    <w:rsid w:val="0013077D"/>
    <w:rsid w:val="001314C0"/>
    <w:rsid w:val="00150A22"/>
    <w:rsid w:val="001638D3"/>
    <w:rsid w:val="00175D4D"/>
    <w:rsid w:val="001A2060"/>
    <w:rsid w:val="001A3400"/>
    <w:rsid w:val="001A3F5B"/>
    <w:rsid w:val="001A5942"/>
    <w:rsid w:val="001C3696"/>
    <w:rsid w:val="001D3769"/>
    <w:rsid w:val="001D5423"/>
    <w:rsid w:val="001D65CE"/>
    <w:rsid w:val="001E417A"/>
    <w:rsid w:val="002328FD"/>
    <w:rsid w:val="00233DA8"/>
    <w:rsid w:val="00240538"/>
    <w:rsid w:val="00240625"/>
    <w:rsid w:val="00250294"/>
    <w:rsid w:val="00250ED2"/>
    <w:rsid w:val="0025156C"/>
    <w:rsid w:val="00256999"/>
    <w:rsid w:val="00281579"/>
    <w:rsid w:val="002872A4"/>
    <w:rsid w:val="002C55E2"/>
    <w:rsid w:val="002E1E02"/>
    <w:rsid w:val="002E72F8"/>
    <w:rsid w:val="00302A27"/>
    <w:rsid w:val="00303AD4"/>
    <w:rsid w:val="003056CA"/>
    <w:rsid w:val="00306C61"/>
    <w:rsid w:val="00307A9A"/>
    <w:rsid w:val="00307EC7"/>
    <w:rsid w:val="00311C41"/>
    <w:rsid w:val="003125FC"/>
    <w:rsid w:val="0033343E"/>
    <w:rsid w:val="0033526B"/>
    <w:rsid w:val="003449C4"/>
    <w:rsid w:val="00346A1D"/>
    <w:rsid w:val="003478C2"/>
    <w:rsid w:val="003527B7"/>
    <w:rsid w:val="0037582B"/>
    <w:rsid w:val="0038373C"/>
    <w:rsid w:val="00383D0B"/>
    <w:rsid w:val="00383D45"/>
    <w:rsid w:val="00397538"/>
    <w:rsid w:val="003A4F21"/>
    <w:rsid w:val="003A6B6E"/>
    <w:rsid w:val="003B0A19"/>
    <w:rsid w:val="003B59EB"/>
    <w:rsid w:val="003D1E2D"/>
    <w:rsid w:val="003E1693"/>
    <w:rsid w:val="003E2ACE"/>
    <w:rsid w:val="003F0376"/>
    <w:rsid w:val="003F63AC"/>
    <w:rsid w:val="003F75EC"/>
    <w:rsid w:val="00406244"/>
    <w:rsid w:val="00406C45"/>
    <w:rsid w:val="00415C5A"/>
    <w:rsid w:val="00454BC3"/>
    <w:rsid w:val="004759CF"/>
    <w:rsid w:val="004A2B32"/>
    <w:rsid w:val="004A59BE"/>
    <w:rsid w:val="004A7E21"/>
    <w:rsid w:val="004B156F"/>
    <w:rsid w:val="004B65B5"/>
    <w:rsid w:val="004C13BF"/>
    <w:rsid w:val="004E4987"/>
    <w:rsid w:val="004F0911"/>
    <w:rsid w:val="004F4C76"/>
    <w:rsid w:val="005062D9"/>
    <w:rsid w:val="00507E7D"/>
    <w:rsid w:val="00513519"/>
    <w:rsid w:val="00516E58"/>
    <w:rsid w:val="00530A84"/>
    <w:rsid w:val="00530CA6"/>
    <w:rsid w:val="00532407"/>
    <w:rsid w:val="0053374E"/>
    <w:rsid w:val="00543ED8"/>
    <w:rsid w:val="00546054"/>
    <w:rsid w:val="0055143B"/>
    <w:rsid w:val="00551968"/>
    <w:rsid w:val="00552DBD"/>
    <w:rsid w:val="00553DB9"/>
    <w:rsid w:val="005653D4"/>
    <w:rsid w:val="00571D1C"/>
    <w:rsid w:val="00572262"/>
    <w:rsid w:val="005742D2"/>
    <w:rsid w:val="00590AEC"/>
    <w:rsid w:val="005959D2"/>
    <w:rsid w:val="00595CF4"/>
    <w:rsid w:val="00596180"/>
    <w:rsid w:val="00597B70"/>
    <w:rsid w:val="005A0483"/>
    <w:rsid w:val="005A5C83"/>
    <w:rsid w:val="005B039F"/>
    <w:rsid w:val="005B611C"/>
    <w:rsid w:val="005C1972"/>
    <w:rsid w:val="005D4E54"/>
    <w:rsid w:val="005E3D70"/>
    <w:rsid w:val="005F2C21"/>
    <w:rsid w:val="005F2FE9"/>
    <w:rsid w:val="005F58AA"/>
    <w:rsid w:val="00602009"/>
    <w:rsid w:val="00602CF5"/>
    <w:rsid w:val="006073D4"/>
    <w:rsid w:val="00613057"/>
    <w:rsid w:val="00626AF4"/>
    <w:rsid w:val="00634036"/>
    <w:rsid w:val="00635D9E"/>
    <w:rsid w:val="00673E55"/>
    <w:rsid w:val="00675E9B"/>
    <w:rsid w:val="00690547"/>
    <w:rsid w:val="0069070C"/>
    <w:rsid w:val="006A11CF"/>
    <w:rsid w:val="006A7A61"/>
    <w:rsid w:val="006B27FF"/>
    <w:rsid w:val="006C0710"/>
    <w:rsid w:val="006C27D0"/>
    <w:rsid w:val="006C60E0"/>
    <w:rsid w:val="006C6B0F"/>
    <w:rsid w:val="006D09E0"/>
    <w:rsid w:val="006F1074"/>
    <w:rsid w:val="006F1113"/>
    <w:rsid w:val="006F22B6"/>
    <w:rsid w:val="006F5334"/>
    <w:rsid w:val="00712ACF"/>
    <w:rsid w:val="00722C66"/>
    <w:rsid w:val="00726D6D"/>
    <w:rsid w:val="00734260"/>
    <w:rsid w:val="00752492"/>
    <w:rsid w:val="00757B89"/>
    <w:rsid w:val="00776873"/>
    <w:rsid w:val="00782D50"/>
    <w:rsid w:val="007832A6"/>
    <w:rsid w:val="00787206"/>
    <w:rsid w:val="00791164"/>
    <w:rsid w:val="007A037E"/>
    <w:rsid w:val="007A1FBD"/>
    <w:rsid w:val="007B1EA7"/>
    <w:rsid w:val="007B247E"/>
    <w:rsid w:val="007B384F"/>
    <w:rsid w:val="007B4914"/>
    <w:rsid w:val="007B6560"/>
    <w:rsid w:val="007D72AB"/>
    <w:rsid w:val="007F00A0"/>
    <w:rsid w:val="007F127F"/>
    <w:rsid w:val="007F17DE"/>
    <w:rsid w:val="007F4363"/>
    <w:rsid w:val="007F46B5"/>
    <w:rsid w:val="008008A4"/>
    <w:rsid w:val="00817043"/>
    <w:rsid w:val="00817AB4"/>
    <w:rsid w:val="008266F8"/>
    <w:rsid w:val="008371C8"/>
    <w:rsid w:val="00837D9C"/>
    <w:rsid w:val="00857548"/>
    <w:rsid w:val="008621FB"/>
    <w:rsid w:val="0086227B"/>
    <w:rsid w:val="00865E87"/>
    <w:rsid w:val="00881576"/>
    <w:rsid w:val="00881916"/>
    <w:rsid w:val="00883B80"/>
    <w:rsid w:val="00887FAF"/>
    <w:rsid w:val="00894606"/>
    <w:rsid w:val="00897FAF"/>
    <w:rsid w:val="008A74FF"/>
    <w:rsid w:val="008B7E2F"/>
    <w:rsid w:val="008C0372"/>
    <w:rsid w:val="008D4E62"/>
    <w:rsid w:val="008D6609"/>
    <w:rsid w:val="008E35E5"/>
    <w:rsid w:val="008F6182"/>
    <w:rsid w:val="00900F46"/>
    <w:rsid w:val="009124D8"/>
    <w:rsid w:val="00917E9B"/>
    <w:rsid w:val="00927982"/>
    <w:rsid w:val="0094234F"/>
    <w:rsid w:val="00955FD0"/>
    <w:rsid w:val="0095759A"/>
    <w:rsid w:val="00960CF2"/>
    <w:rsid w:val="00966975"/>
    <w:rsid w:val="00972925"/>
    <w:rsid w:val="009924D4"/>
    <w:rsid w:val="00993BD0"/>
    <w:rsid w:val="00995F9F"/>
    <w:rsid w:val="009A24BC"/>
    <w:rsid w:val="009A2D7F"/>
    <w:rsid w:val="009B3391"/>
    <w:rsid w:val="009B7615"/>
    <w:rsid w:val="009C0201"/>
    <w:rsid w:val="009C6AC7"/>
    <w:rsid w:val="009D0788"/>
    <w:rsid w:val="009D1726"/>
    <w:rsid w:val="009D2172"/>
    <w:rsid w:val="009D3B69"/>
    <w:rsid w:val="009D4DF9"/>
    <w:rsid w:val="009F088D"/>
    <w:rsid w:val="00A12B7E"/>
    <w:rsid w:val="00A42F73"/>
    <w:rsid w:val="00A44152"/>
    <w:rsid w:val="00A50E2D"/>
    <w:rsid w:val="00A5182D"/>
    <w:rsid w:val="00A52C53"/>
    <w:rsid w:val="00A536D9"/>
    <w:rsid w:val="00A6275B"/>
    <w:rsid w:val="00A750CB"/>
    <w:rsid w:val="00A90E73"/>
    <w:rsid w:val="00AA5000"/>
    <w:rsid w:val="00AB1375"/>
    <w:rsid w:val="00AB314F"/>
    <w:rsid w:val="00AC11FB"/>
    <w:rsid w:val="00AC2391"/>
    <w:rsid w:val="00AC2E3C"/>
    <w:rsid w:val="00AD0DB3"/>
    <w:rsid w:val="00AD1DF8"/>
    <w:rsid w:val="00AD2BEB"/>
    <w:rsid w:val="00AE1E64"/>
    <w:rsid w:val="00AE7A69"/>
    <w:rsid w:val="00AF184A"/>
    <w:rsid w:val="00AF3C6A"/>
    <w:rsid w:val="00B116D7"/>
    <w:rsid w:val="00B177A4"/>
    <w:rsid w:val="00B26242"/>
    <w:rsid w:val="00B264B2"/>
    <w:rsid w:val="00B421A5"/>
    <w:rsid w:val="00B4710D"/>
    <w:rsid w:val="00B51BDC"/>
    <w:rsid w:val="00B561C0"/>
    <w:rsid w:val="00B567BF"/>
    <w:rsid w:val="00B57DF0"/>
    <w:rsid w:val="00B70CB7"/>
    <w:rsid w:val="00B773CE"/>
    <w:rsid w:val="00B8034B"/>
    <w:rsid w:val="00B91EAD"/>
    <w:rsid w:val="00B93255"/>
    <w:rsid w:val="00BA5FD9"/>
    <w:rsid w:val="00BA6C11"/>
    <w:rsid w:val="00BC63C4"/>
    <w:rsid w:val="00BC734E"/>
    <w:rsid w:val="00BC7F2E"/>
    <w:rsid w:val="00BD31C0"/>
    <w:rsid w:val="00BD5753"/>
    <w:rsid w:val="00BD6CFD"/>
    <w:rsid w:val="00BF3362"/>
    <w:rsid w:val="00BF3380"/>
    <w:rsid w:val="00BF4A48"/>
    <w:rsid w:val="00BF547F"/>
    <w:rsid w:val="00C048E9"/>
    <w:rsid w:val="00C17AD3"/>
    <w:rsid w:val="00C57B2E"/>
    <w:rsid w:val="00C604E1"/>
    <w:rsid w:val="00C76A3E"/>
    <w:rsid w:val="00C901D3"/>
    <w:rsid w:val="00C91511"/>
    <w:rsid w:val="00C91823"/>
    <w:rsid w:val="00C9224C"/>
    <w:rsid w:val="00C924F4"/>
    <w:rsid w:val="00C94150"/>
    <w:rsid w:val="00CA3D59"/>
    <w:rsid w:val="00CB6D2D"/>
    <w:rsid w:val="00CC0BEB"/>
    <w:rsid w:val="00CC137F"/>
    <w:rsid w:val="00CD09DF"/>
    <w:rsid w:val="00CD604F"/>
    <w:rsid w:val="00CD7271"/>
    <w:rsid w:val="00CE58F7"/>
    <w:rsid w:val="00CE7347"/>
    <w:rsid w:val="00D008AB"/>
    <w:rsid w:val="00D00A7D"/>
    <w:rsid w:val="00D04130"/>
    <w:rsid w:val="00D40B10"/>
    <w:rsid w:val="00D41686"/>
    <w:rsid w:val="00D44E79"/>
    <w:rsid w:val="00D56644"/>
    <w:rsid w:val="00D57D35"/>
    <w:rsid w:val="00D60EE3"/>
    <w:rsid w:val="00D61A4F"/>
    <w:rsid w:val="00D61D12"/>
    <w:rsid w:val="00D62401"/>
    <w:rsid w:val="00D80DDF"/>
    <w:rsid w:val="00D84620"/>
    <w:rsid w:val="00D93AC2"/>
    <w:rsid w:val="00D94A71"/>
    <w:rsid w:val="00DA265F"/>
    <w:rsid w:val="00DA2E45"/>
    <w:rsid w:val="00DB41D6"/>
    <w:rsid w:val="00DB4D8C"/>
    <w:rsid w:val="00DB5DCB"/>
    <w:rsid w:val="00DC2BC6"/>
    <w:rsid w:val="00DC4CF3"/>
    <w:rsid w:val="00DD1437"/>
    <w:rsid w:val="00DF53A1"/>
    <w:rsid w:val="00DF75DF"/>
    <w:rsid w:val="00E17755"/>
    <w:rsid w:val="00E20450"/>
    <w:rsid w:val="00E212D5"/>
    <w:rsid w:val="00E2448E"/>
    <w:rsid w:val="00E31D41"/>
    <w:rsid w:val="00E3590D"/>
    <w:rsid w:val="00E36B0A"/>
    <w:rsid w:val="00E45649"/>
    <w:rsid w:val="00E50E0D"/>
    <w:rsid w:val="00E60647"/>
    <w:rsid w:val="00E61F70"/>
    <w:rsid w:val="00E7027A"/>
    <w:rsid w:val="00E74B9F"/>
    <w:rsid w:val="00E94D48"/>
    <w:rsid w:val="00EA17E7"/>
    <w:rsid w:val="00EA6C24"/>
    <w:rsid w:val="00EA7BC7"/>
    <w:rsid w:val="00EB7225"/>
    <w:rsid w:val="00EC1A58"/>
    <w:rsid w:val="00EC5694"/>
    <w:rsid w:val="00EC6872"/>
    <w:rsid w:val="00F1172D"/>
    <w:rsid w:val="00F13F01"/>
    <w:rsid w:val="00F14FA1"/>
    <w:rsid w:val="00F2322D"/>
    <w:rsid w:val="00F2345E"/>
    <w:rsid w:val="00F26A55"/>
    <w:rsid w:val="00F34A29"/>
    <w:rsid w:val="00F43872"/>
    <w:rsid w:val="00F51D79"/>
    <w:rsid w:val="00F76CC3"/>
    <w:rsid w:val="00FA0C2C"/>
    <w:rsid w:val="00FA4BC1"/>
    <w:rsid w:val="00FC3B7D"/>
    <w:rsid w:val="00FD22BB"/>
    <w:rsid w:val="00FD5D61"/>
    <w:rsid w:val="00FD75E0"/>
    <w:rsid w:val="00FE1DB8"/>
    <w:rsid w:val="00FE5E18"/>
    <w:rsid w:val="00FF2A10"/>
    <w:rsid w:val="00FF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AB7038"/>
  <w15:chartTrackingRefBased/>
  <w15:docId w15:val="{553D1B57-1294-4F26-AB15-B4364E36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AC"/>
    <w:pPr>
      <w:spacing w:before="240" w:after="240" w:line="276" w:lineRule="auto"/>
    </w:pPr>
  </w:style>
  <w:style w:type="paragraph" w:styleId="Heading1">
    <w:name w:val="heading 1"/>
    <w:basedOn w:val="Normal"/>
    <w:next w:val="Normal"/>
    <w:link w:val="Heading1Char"/>
    <w:autoRedefine/>
    <w:uiPriority w:val="1"/>
    <w:qFormat/>
    <w:rsid w:val="00302A27"/>
    <w:pPr>
      <w:outlineLvl w:val="0"/>
    </w:pPr>
    <w:rPr>
      <w:b/>
      <w:kern w:val="24"/>
      <w:sz w:val="52"/>
      <w:szCs w:val="52"/>
    </w:rPr>
  </w:style>
  <w:style w:type="paragraph" w:styleId="Heading2">
    <w:name w:val="heading 2"/>
    <w:basedOn w:val="Normal"/>
    <w:next w:val="Normal"/>
    <w:link w:val="Heading2Char"/>
    <w:autoRedefine/>
    <w:uiPriority w:val="1"/>
    <w:qFormat/>
    <w:rsid w:val="00881916"/>
    <w:pPr>
      <w:ind w:right="57"/>
      <w:outlineLvl w:val="1"/>
    </w:pPr>
    <w:rPr>
      <w:rFonts w:cstheme="minorHAnsi"/>
      <w:b/>
      <w:sz w:val="40"/>
      <w:szCs w:val="40"/>
    </w:rPr>
  </w:style>
  <w:style w:type="paragraph" w:styleId="Heading3">
    <w:name w:val="heading 3"/>
    <w:basedOn w:val="Normal"/>
    <w:next w:val="Normal"/>
    <w:link w:val="Heading3Char"/>
    <w:autoRedefine/>
    <w:uiPriority w:val="1"/>
    <w:qFormat/>
    <w:rsid w:val="007F17DE"/>
    <w:pPr>
      <w:spacing w:line="480" w:lineRule="auto"/>
      <w:outlineLvl w:val="2"/>
    </w:pPr>
    <w:rPr>
      <w:b/>
      <w:kern w:val="24"/>
      <w:sz w:val="32"/>
      <w:szCs w:val="32"/>
    </w:rPr>
  </w:style>
  <w:style w:type="paragraph" w:styleId="Heading4">
    <w:name w:val="heading 4"/>
    <w:basedOn w:val="Normal"/>
    <w:next w:val="Normal"/>
    <w:link w:val="Heading4Char"/>
    <w:autoRedefine/>
    <w:uiPriority w:val="9"/>
    <w:semiHidden/>
    <w:qFormat/>
    <w:rsid w:val="00571D1C"/>
    <w:pPr>
      <w:keepNext/>
      <w:keepLines/>
      <w:spacing w:before="40" w:line="480" w:lineRule="auto"/>
      <w:outlineLvl w:val="3"/>
    </w:pPr>
    <w:rPr>
      <w:rFonts w:eastAsiaTheme="majorEastAsia" w:cstheme="majorBidi"/>
      <w:b/>
      <w:iCs/>
      <w:u w:val="single"/>
    </w:rPr>
  </w:style>
  <w:style w:type="paragraph" w:styleId="Heading5">
    <w:name w:val="heading 5"/>
    <w:basedOn w:val="Normal"/>
    <w:next w:val="Normal"/>
    <w:link w:val="Heading5Char"/>
    <w:autoRedefine/>
    <w:uiPriority w:val="9"/>
    <w:unhideWhenUsed/>
    <w:qFormat/>
    <w:rsid w:val="00887FAF"/>
    <w:pPr>
      <w:keepNext/>
      <w:keepLines/>
      <w:spacing w:before="40" w:after="0"/>
      <w:outlineLvl w:val="4"/>
    </w:pPr>
    <w:rPr>
      <w:rFonts w:eastAsiaTheme="majorEastAsia" w:cs="Arial"/>
      <w:bCs/>
      <w:color w:val="0B1C32"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F76CC3"/>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302A27"/>
    <w:rPr>
      <w:b/>
      <w:kern w:val="24"/>
      <w:sz w:val="52"/>
      <w:szCs w:val="52"/>
    </w:rPr>
  </w:style>
  <w:style w:type="character" w:customStyle="1" w:styleId="Heading2Char">
    <w:name w:val="Heading 2 Char"/>
    <w:basedOn w:val="DefaultParagraphFont"/>
    <w:link w:val="Heading2"/>
    <w:uiPriority w:val="1"/>
    <w:rsid w:val="00881916"/>
    <w:rPr>
      <w:rFonts w:cstheme="minorHAnsi"/>
      <w:b/>
      <w:sz w:val="40"/>
      <w:szCs w:val="40"/>
    </w:rPr>
  </w:style>
  <w:style w:type="character" w:customStyle="1" w:styleId="Heading3Char">
    <w:name w:val="Heading 3 Char"/>
    <w:basedOn w:val="DefaultParagraphFont"/>
    <w:link w:val="Heading3"/>
    <w:uiPriority w:val="1"/>
    <w:rsid w:val="007F17DE"/>
    <w:rPr>
      <w:b/>
      <w:kern w:val="24"/>
      <w:sz w:val="32"/>
      <w:szCs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1F4F8E" w:themeColor="text1" w:themeTint="BF"/>
    </w:rPr>
  </w:style>
  <w:style w:type="character" w:customStyle="1" w:styleId="QuoteChar">
    <w:name w:val="Quote Char"/>
    <w:basedOn w:val="DefaultParagraphFont"/>
    <w:link w:val="Quote"/>
    <w:uiPriority w:val="29"/>
    <w:rsid w:val="00D60EE3"/>
    <w:rPr>
      <w:iCs/>
      <w:color w:val="1F4F8E"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Footnote Endnote Text"/>
    <w:link w:val="FootnoteTextChar"/>
    <w:uiPriority w:val="99"/>
    <w:unhideWhenUsed/>
    <w:rsid w:val="00966975"/>
    <w:pPr>
      <w:spacing w:after="120" w:line="240" w:lineRule="auto"/>
    </w:pPr>
    <w:rPr>
      <w:rFonts w:eastAsia="Calibri" w:cs="Times New Roman"/>
      <w:sz w:val="22"/>
      <w:szCs w:val="20"/>
      <w:lang w:val="x-none"/>
    </w:rPr>
  </w:style>
  <w:style w:type="character" w:customStyle="1" w:styleId="FootnoteTextChar">
    <w:name w:val="Footnote Text Char"/>
    <w:aliases w:val="Footnote Endnote Text Char"/>
    <w:basedOn w:val="DefaultParagraphFont"/>
    <w:link w:val="FootnoteText"/>
    <w:uiPriority w:val="99"/>
    <w:rsid w:val="00966975"/>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782D50"/>
    <w:rPr>
      <w:b/>
      <w:bCs/>
      <w:sz w:val="24"/>
      <w:szCs w:val="24"/>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F668B" w:themeColor="accent2" w:themeTint="BF"/>
        <w:left w:val="single" w:sz="8" w:space="0" w:color="FF668B" w:themeColor="accent2" w:themeTint="BF"/>
        <w:bottom w:val="single" w:sz="8" w:space="0" w:color="FF668B" w:themeColor="accent2" w:themeTint="BF"/>
        <w:right w:val="single" w:sz="8" w:space="0" w:color="FF668B" w:themeColor="accent2" w:themeTint="BF"/>
        <w:insideH w:val="single" w:sz="8" w:space="0" w:color="FF668B" w:themeColor="accent2" w:themeTint="BF"/>
        <w:insideV w:val="single" w:sz="8" w:space="0" w:color="FF668B" w:themeColor="accent2" w:themeTint="BF"/>
      </w:tblBorders>
    </w:tblPr>
    <w:tcPr>
      <w:shd w:val="clear" w:color="auto" w:fill="FFCCD8" w:themeFill="accent2" w:themeFillTint="3F"/>
    </w:tcPr>
    <w:tblStylePr w:type="lastRow">
      <w:tblPr/>
      <w:tcPr>
        <w:tcBorders>
          <w:top w:val="single" w:sz="18" w:space="0" w:color="FF668B" w:themeColor="accent2" w:themeTint="BF"/>
        </w:tcBorders>
      </w:tcPr>
    </w:tblStylePr>
    <w:tblStylePr w:type="band1Vert">
      <w:tblPr/>
      <w:tcPr>
        <w:shd w:val="clear" w:color="auto" w:fill="FF99B2" w:themeFill="accent2" w:themeFillTint="7F"/>
      </w:tcPr>
    </w:tblStylePr>
    <w:tblStylePr w:type="band1Horz">
      <w:tblPr/>
      <w:tcPr>
        <w:shd w:val="clear" w:color="auto" w:fill="FF99B2" w:themeFill="accent2" w:themeFillTint="7F"/>
      </w:tcPr>
    </w:tblStylePr>
  </w:style>
  <w:style w:type="paragraph" w:styleId="Title">
    <w:name w:val="Title"/>
    <w:basedOn w:val="Normal"/>
    <w:next w:val="Normal"/>
    <w:link w:val="TitleChar"/>
    <w:qFormat/>
    <w:rsid w:val="00A536D9"/>
    <w:pPr>
      <w:spacing w:line="240" w:lineRule="auto"/>
      <w:ind w:right="1174"/>
      <w:contextualSpacing/>
    </w:pPr>
    <w:rPr>
      <w:rFonts w:eastAsiaTheme="majorEastAsia" w:cstheme="majorBidi"/>
      <w:b/>
      <w:spacing w:val="-10"/>
      <w:kern w:val="28"/>
      <w:sz w:val="48"/>
      <w:szCs w:val="48"/>
    </w:rPr>
  </w:style>
  <w:style w:type="character" w:customStyle="1" w:styleId="TitleChar">
    <w:name w:val="Title Char"/>
    <w:basedOn w:val="DefaultParagraphFont"/>
    <w:link w:val="Title"/>
    <w:rsid w:val="00A536D9"/>
    <w:rPr>
      <w:rFonts w:eastAsiaTheme="majorEastAsia" w:cstheme="majorBidi"/>
      <w:b/>
      <w:spacing w:val="-10"/>
      <w:kern w:val="28"/>
      <w:sz w:val="48"/>
      <w:szCs w:val="48"/>
    </w:rPr>
  </w:style>
  <w:style w:type="paragraph" w:styleId="Subtitle">
    <w:name w:val="Subtitle"/>
    <w:aliases w:val="Recommendations"/>
    <w:basedOn w:val="Normal"/>
    <w:next w:val="Normal"/>
    <w:link w:val="SubtitleChar"/>
    <w:uiPriority w:val="11"/>
    <w:unhideWhenUsed/>
    <w:qFormat/>
    <w:rsid w:val="005E3D70"/>
    <w:pPr>
      <w:pBdr>
        <w:top w:val="single" w:sz="4" w:space="1" w:color="000000"/>
        <w:left w:val="single" w:sz="4" w:space="4" w:color="000000"/>
        <w:bottom w:val="single" w:sz="4" w:space="1" w:color="000000"/>
        <w:right w:val="single" w:sz="4" w:space="4" w:color="000000"/>
      </w:pBdr>
      <w:shd w:val="clear" w:color="auto" w:fill="8BADDC"/>
      <w:tabs>
        <w:tab w:val="num" w:pos="0"/>
      </w:tabs>
      <w:ind w:right="238"/>
    </w:pPr>
  </w:style>
  <w:style w:type="character" w:customStyle="1" w:styleId="SubtitleChar">
    <w:name w:val="Subtitle Char"/>
    <w:aliases w:val="Recommendations Char"/>
    <w:basedOn w:val="DefaultParagraphFont"/>
    <w:link w:val="Subtitle"/>
    <w:uiPriority w:val="11"/>
    <w:rsid w:val="005E3D70"/>
    <w:rPr>
      <w:shd w:val="clear" w:color="auto" w:fill="8BADDC"/>
    </w:rPr>
  </w:style>
  <w:style w:type="paragraph" w:customStyle="1" w:styleId="ConsultationQuestion">
    <w:name w:val="Consultation Question"/>
    <w:basedOn w:val="Normal"/>
    <w:uiPriority w:val="3"/>
    <w:rsid w:val="001D65CE"/>
    <w:pPr>
      <w:numPr>
        <w:numId w:val="2"/>
      </w:numPr>
      <w:ind w:right="57"/>
      <w:contextualSpacing/>
    </w:pPr>
    <w:rPr>
      <w:rFonts w:cstheme="minorHAnsi"/>
      <w:b/>
    </w:rPr>
  </w:style>
  <w:style w:type="paragraph" w:styleId="ListParagraph">
    <w:name w:val="List Paragraph"/>
    <w:basedOn w:val="Normal"/>
    <w:link w:val="ListParagraphChar"/>
    <w:uiPriority w:val="34"/>
    <w:unhideWhenUsed/>
    <w:qFormat/>
    <w:rsid w:val="00AD0DB3"/>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BD31C0"/>
    <w:pPr>
      <w:keepNext/>
      <w:keepLines/>
      <w:spacing w:after="0" w:line="259" w:lineRule="auto"/>
      <w:outlineLvl w:val="9"/>
    </w:pPr>
    <w:rPr>
      <w:rFonts w:eastAsiaTheme="majorEastAsia" w:cstheme="majorBidi"/>
      <w:color w:val="0B1C32" w:themeColor="text2"/>
      <w:kern w:val="0"/>
      <w:szCs w:val="32"/>
      <w:lang w:val="en-US"/>
    </w:rPr>
  </w:style>
  <w:style w:type="paragraph" w:styleId="TOC1">
    <w:name w:val="toc 1"/>
    <w:basedOn w:val="Normal"/>
    <w:next w:val="Normal"/>
    <w:autoRedefine/>
    <w:uiPriority w:val="39"/>
    <w:unhideWhenUsed/>
    <w:rsid w:val="00AF3C6A"/>
    <w:pPr>
      <w:spacing w:after="100"/>
    </w:pPr>
    <w:rPr>
      <w:color w:val="0B1C32" w:themeColor="text1"/>
    </w:rPr>
  </w:style>
  <w:style w:type="paragraph" w:styleId="TOC2">
    <w:name w:val="toc 2"/>
    <w:basedOn w:val="Normal"/>
    <w:next w:val="Normal"/>
    <w:autoRedefine/>
    <w:uiPriority w:val="39"/>
    <w:unhideWhenUsed/>
    <w:rsid w:val="004B65B5"/>
    <w:pPr>
      <w:spacing w:after="100"/>
      <w:ind w:left="280"/>
    </w:pPr>
    <w:rPr>
      <w:color w:val="0B1C32" w:themeColor="text1"/>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572262"/>
    <w:pPr>
      <w:outlineLvl w:val="9"/>
    </w:pPr>
    <w:rPr>
      <w:b w:val="0"/>
    </w:rPr>
  </w:style>
  <w:style w:type="paragraph" w:styleId="TOC3">
    <w:name w:val="toc 3"/>
    <w:basedOn w:val="Normal"/>
    <w:next w:val="Normal"/>
    <w:autoRedefine/>
    <w:uiPriority w:val="39"/>
    <w:unhideWhenUsed/>
    <w:rsid w:val="009124D8"/>
    <w:pPr>
      <w:spacing w:after="100"/>
      <w:ind w:left="560"/>
    </w:pPr>
    <w:rPr>
      <w:color w:val="0B1C32" w:themeColor="text2"/>
    </w:rPr>
  </w:style>
  <w:style w:type="paragraph" w:customStyle="1" w:styleId="NumHead1">
    <w:name w:val="Num Head1"/>
    <w:basedOn w:val="Heading1"/>
    <w:next w:val="Normal"/>
    <w:link w:val="NumHead1Char"/>
    <w:uiPriority w:val="2"/>
    <w:qFormat/>
    <w:rsid w:val="00302A27"/>
    <w:pPr>
      <w:numPr>
        <w:numId w:val="3"/>
      </w:numPr>
      <w:ind w:left="357" w:hanging="357"/>
    </w:pPr>
    <w:rPr>
      <w:sz w:val="40"/>
    </w:rPr>
  </w:style>
  <w:style w:type="character" w:customStyle="1" w:styleId="NumHead1Char">
    <w:name w:val="Num Head1 Char"/>
    <w:basedOn w:val="Heading1Char"/>
    <w:link w:val="NumHead1"/>
    <w:uiPriority w:val="2"/>
    <w:rsid w:val="00302A27"/>
    <w:rPr>
      <w:b/>
      <w:kern w:val="24"/>
      <w:sz w:val="40"/>
      <w:szCs w:val="52"/>
    </w:rPr>
  </w:style>
  <w:style w:type="paragraph" w:customStyle="1" w:styleId="NumHead2">
    <w:name w:val="Num Head2"/>
    <w:basedOn w:val="Heading2"/>
    <w:link w:val="NumHead2Char"/>
    <w:uiPriority w:val="2"/>
    <w:qFormat/>
    <w:rsid w:val="00302A27"/>
    <w:pPr>
      <w:numPr>
        <w:ilvl w:val="1"/>
        <w:numId w:val="3"/>
      </w:numPr>
      <w:ind w:left="1276" w:hanging="919"/>
    </w:pPr>
    <w:rPr>
      <w:sz w:val="32"/>
      <w:szCs w:val="32"/>
    </w:rPr>
  </w:style>
  <w:style w:type="character" w:customStyle="1" w:styleId="NumHead2Char">
    <w:name w:val="Num Head2 Char"/>
    <w:basedOn w:val="Heading2Char"/>
    <w:link w:val="NumHead2"/>
    <w:uiPriority w:val="2"/>
    <w:rsid w:val="00302A27"/>
    <w:rPr>
      <w:rFonts w:cstheme="minorHAnsi"/>
      <w:b/>
      <w:sz w:val="32"/>
      <w:szCs w:val="32"/>
    </w:rPr>
  </w:style>
  <w:style w:type="paragraph" w:customStyle="1" w:styleId="NumHead3">
    <w:name w:val="Num Head3"/>
    <w:basedOn w:val="Heading3"/>
    <w:next w:val="Normal"/>
    <w:link w:val="NumHead3Char"/>
    <w:uiPriority w:val="2"/>
    <w:qFormat/>
    <w:rsid w:val="00635D9E"/>
    <w:pPr>
      <w:numPr>
        <w:ilvl w:val="2"/>
        <w:numId w:val="3"/>
      </w:numPr>
      <w:ind w:left="1276" w:hanging="788"/>
    </w:pPr>
  </w:style>
  <w:style w:type="character" w:customStyle="1" w:styleId="NumHead3Char">
    <w:name w:val="Num Head3 Char"/>
    <w:basedOn w:val="Heading3Char"/>
    <w:link w:val="NumHead3"/>
    <w:uiPriority w:val="2"/>
    <w:rsid w:val="00635D9E"/>
    <w:rPr>
      <w:b/>
      <w:kern w:val="24"/>
      <w:sz w:val="24"/>
      <w:szCs w:val="24"/>
    </w:rPr>
  </w:style>
  <w:style w:type="character" w:customStyle="1" w:styleId="NumParaChar">
    <w:name w:val="Num Para Char"/>
    <w:basedOn w:val="NumHead2Char"/>
    <w:link w:val="NumPara"/>
    <w:uiPriority w:val="2"/>
    <w:rsid w:val="00572262"/>
    <w:rPr>
      <w:rFonts w:cstheme="minorHAnsi"/>
      <w:b w:val="0"/>
      <w:sz w:val="32"/>
      <w:szCs w:val="32"/>
    </w:rPr>
  </w:style>
  <w:style w:type="paragraph" w:customStyle="1" w:styleId="EN1">
    <w:name w:val="EN1"/>
    <w:basedOn w:val="FootnoteText"/>
    <w:link w:val="EN1Char"/>
    <w:rsid w:val="00010F28"/>
    <w:rPr>
      <w:rFonts w:asciiTheme="minorHAnsi" w:eastAsiaTheme="minorHAnsi" w:hAnsiTheme="minorHAnsi" w:cstheme="minorBidi"/>
      <w:sz w:val="20"/>
      <w:lang w:val="en-GB"/>
    </w:rPr>
  </w:style>
  <w:style w:type="character" w:customStyle="1" w:styleId="EN1Char">
    <w:name w:val="EN1 Char"/>
    <w:basedOn w:val="DefaultParagraphFont"/>
    <w:link w:val="EN1"/>
    <w:rsid w:val="00010F28"/>
    <w:rPr>
      <w:rFonts w:asciiTheme="minorHAnsi" w:hAnsiTheme="min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0F28"/>
    <w:pPr>
      <w:spacing w:before="0" w:after="160" w:line="240" w:lineRule="exact"/>
      <w:jc w:val="both"/>
    </w:pPr>
    <w:rPr>
      <w:vertAlign w:val="superscript"/>
    </w:rPr>
  </w:style>
  <w:style w:type="paragraph" w:styleId="ListBullet">
    <w:name w:val="List Bullet"/>
    <w:basedOn w:val="Normal"/>
    <w:uiPriority w:val="99"/>
    <w:semiHidden/>
    <w:unhideWhenUsed/>
    <w:rsid w:val="00010F28"/>
    <w:pPr>
      <w:numPr>
        <w:numId w:val="4"/>
      </w:numPr>
      <w:spacing w:line="240" w:lineRule="auto"/>
      <w:ind w:left="357" w:hanging="357"/>
      <w:contextualSpacing/>
    </w:pPr>
  </w:style>
  <w:style w:type="paragraph" w:styleId="EndnoteText">
    <w:name w:val="endnote text"/>
    <w:basedOn w:val="Normal"/>
    <w:link w:val="EndnoteTextChar"/>
    <w:uiPriority w:val="99"/>
    <w:unhideWhenUsed/>
    <w:rsid w:val="002E1E02"/>
    <w:pPr>
      <w:spacing w:before="0" w:after="0" w:line="240" w:lineRule="auto"/>
    </w:pPr>
    <w:rPr>
      <w:sz w:val="20"/>
      <w:szCs w:val="20"/>
    </w:rPr>
  </w:style>
  <w:style w:type="character" w:customStyle="1" w:styleId="EndnoteTextChar">
    <w:name w:val="Endnote Text Char"/>
    <w:basedOn w:val="DefaultParagraphFont"/>
    <w:link w:val="EndnoteText"/>
    <w:uiPriority w:val="99"/>
    <w:rsid w:val="002E1E02"/>
    <w:rPr>
      <w:sz w:val="20"/>
      <w:szCs w:val="20"/>
    </w:rPr>
  </w:style>
  <w:style w:type="character" w:styleId="EndnoteReference">
    <w:name w:val="endnote reference"/>
    <w:basedOn w:val="DefaultParagraphFont"/>
    <w:uiPriority w:val="99"/>
    <w:semiHidden/>
    <w:unhideWhenUsed/>
    <w:rsid w:val="002E1E02"/>
    <w:rPr>
      <w:vertAlign w:val="superscript"/>
    </w:rPr>
  </w:style>
  <w:style w:type="paragraph" w:customStyle="1" w:styleId="NumPara1">
    <w:name w:val="NumPara1"/>
    <w:basedOn w:val="ListParagraph"/>
    <w:link w:val="NumPara1Char"/>
    <w:uiPriority w:val="2"/>
    <w:qFormat/>
    <w:rsid w:val="00572262"/>
    <w:pPr>
      <w:numPr>
        <w:numId w:val="5"/>
      </w:numPr>
      <w:ind w:left="851" w:hanging="851"/>
      <w:contextualSpacing w:val="0"/>
    </w:pPr>
  </w:style>
  <w:style w:type="character" w:customStyle="1" w:styleId="ListParagraphChar">
    <w:name w:val="List Paragraph Char"/>
    <w:basedOn w:val="DefaultParagraphFont"/>
    <w:link w:val="ListParagraph"/>
    <w:uiPriority w:val="34"/>
    <w:rsid w:val="00E20450"/>
  </w:style>
  <w:style w:type="character" w:customStyle="1" w:styleId="NumPara1Char">
    <w:name w:val="NumPara1 Char"/>
    <w:basedOn w:val="ListParagraphChar"/>
    <w:link w:val="NumPara1"/>
    <w:uiPriority w:val="2"/>
    <w:rsid w:val="00572262"/>
  </w:style>
  <w:style w:type="character" w:customStyle="1" w:styleId="Heading4Char">
    <w:name w:val="Heading 4 Char"/>
    <w:basedOn w:val="DefaultParagraphFont"/>
    <w:link w:val="Heading4"/>
    <w:uiPriority w:val="9"/>
    <w:semiHidden/>
    <w:rsid w:val="00571D1C"/>
    <w:rPr>
      <w:rFonts w:eastAsiaTheme="majorEastAsia" w:cstheme="majorBidi"/>
      <w:b/>
      <w:iCs/>
      <w:u w:val="single"/>
    </w:rPr>
  </w:style>
  <w:style w:type="character" w:customStyle="1" w:styleId="Heading5Char">
    <w:name w:val="Heading 5 Char"/>
    <w:basedOn w:val="DefaultParagraphFont"/>
    <w:link w:val="Heading5"/>
    <w:uiPriority w:val="9"/>
    <w:rsid w:val="00887FAF"/>
    <w:rPr>
      <w:rFonts w:eastAsiaTheme="majorEastAsia" w:cs="Arial"/>
      <w:bCs/>
      <w:color w:val="0B1C32" w:themeColor="text1"/>
      <w:u w:val="single"/>
    </w:rPr>
  </w:style>
  <w:style w:type="paragraph" w:customStyle="1" w:styleId="footnote">
    <w:name w:val="footnote"/>
    <w:basedOn w:val="FootnoteText"/>
    <w:link w:val="footnoteChar"/>
    <w:qFormat/>
    <w:rsid w:val="00AB314F"/>
    <w:pPr>
      <w:spacing w:after="0"/>
    </w:pPr>
    <w:rPr>
      <w:rFonts w:cstheme="minorHAnsi"/>
      <w:sz w:val="20"/>
    </w:rPr>
  </w:style>
  <w:style w:type="character" w:customStyle="1" w:styleId="footnoteChar">
    <w:name w:val="footnote Char"/>
    <w:basedOn w:val="DefaultParagraphFont"/>
    <w:link w:val="footnote"/>
    <w:rsid w:val="00AB314F"/>
    <w:rPr>
      <w:rFonts w:eastAsia="Calibri" w:cstheme="minorHAnsi"/>
      <w:sz w:val="20"/>
      <w:szCs w:val="20"/>
      <w:lang w:val="x-none"/>
    </w:rPr>
  </w:style>
  <w:style w:type="character" w:styleId="UnresolvedMention">
    <w:name w:val="Unresolved Mention"/>
    <w:basedOn w:val="DefaultParagraphFont"/>
    <w:uiPriority w:val="99"/>
    <w:semiHidden/>
    <w:unhideWhenUsed/>
    <w:rsid w:val="00AB314F"/>
    <w:rPr>
      <w:color w:val="605E5C"/>
      <w:shd w:val="clear" w:color="auto" w:fill="E1DFDD"/>
    </w:rPr>
  </w:style>
  <w:style w:type="character" w:styleId="Emphasis">
    <w:name w:val="Emphasis"/>
    <w:basedOn w:val="DefaultParagraphFont"/>
    <w:uiPriority w:val="20"/>
    <w:qFormat/>
    <w:rsid w:val="000B19F8"/>
    <w:rPr>
      <w:i/>
      <w:iCs/>
    </w:rPr>
  </w:style>
  <w:style w:type="paragraph" w:styleId="CommentSubject">
    <w:name w:val="annotation subject"/>
    <w:basedOn w:val="CommentText"/>
    <w:next w:val="CommentText"/>
    <w:link w:val="CommentSubjectChar"/>
    <w:uiPriority w:val="99"/>
    <w:semiHidden/>
    <w:unhideWhenUsed/>
    <w:rsid w:val="002872A4"/>
    <w:rPr>
      <w:b/>
      <w:bCs/>
      <w:szCs w:val="20"/>
      <w:lang w:val="en-GB"/>
    </w:rPr>
  </w:style>
  <w:style w:type="character" w:customStyle="1" w:styleId="CommentSubjectChar">
    <w:name w:val="Comment Subject Char"/>
    <w:basedOn w:val="CommentTextChar"/>
    <w:link w:val="CommentSubject"/>
    <w:uiPriority w:val="99"/>
    <w:semiHidden/>
    <w:rsid w:val="002872A4"/>
    <w:rPr>
      <w:rFonts w:ascii="Arial" w:eastAsia="Times New Roman" w:hAnsi="Arial" w:cs="Arial"/>
      <w:b/>
      <w:bCs/>
      <w:sz w:val="20"/>
      <w:szCs w:val="20"/>
      <w:lang w:val="x-none"/>
    </w:rPr>
  </w:style>
  <w:style w:type="paragraph" w:styleId="Revision">
    <w:name w:val="Revision"/>
    <w:hidden/>
    <w:uiPriority w:val="99"/>
    <w:semiHidden/>
    <w:rsid w:val="00B93255"/>
    <w:pPr>
      <w:spacing w:line="240" w:lineRule="auto"/>
    </w:pPr>
  </w:style>
  <w:style w:type="character" w:styleId="FollowedHyperlink">
    <w:name w:val="FollowedHyperlink"/>
    <w:basedOn w:val="DefaultParagraphFont"/>
    <w:uiPriority w:val="99"/>
    <w:semiHidden/>
    <w:unhideWhenUsed/>
    <w:rsid w:val="00D57D35"/>
    <w:rPr>
      <w:color w:val="0B1C32" w:themeColor="followedHyperlink"/>
      <w:u w:val="single"/>
    </w:rPr>
  </w:style>
  <w:style w:type="character" w:customStyle="1" w:styleId="cf01">
    <w:name w:val="cf01"/>
    <w:basedOn w:val="DefaultParagraphFont"/>
    <w:rsid w:val="00D57D35"/>
    <w:rPr>
      <w:rFonts w:ascii="Segoe UI" w:hAnsi="Segoe UI" w:cs="Segoe UI" w:hint="default"/>
      <w:sz w:val="18"/>
      <w:szCs w:val="18"/>
    </w:rPr>
  </w:style>
  <w:style w:type="paragraph" w:customStyle="1" w:styleId="TableNormal1">
    <w:name w:val="Table Normal1"/>
    <w:basedOn w:val="Normal"/>
    <w:link w:val="normaltableChar"/>
    <w:qFormat/>
    <w:rsid w:val="00726D6D"/>
    <w:pPr>
      <w:spacing w:before="0" w:after="0" w:line="240" w:lineRule="auto"/>
    </w:pPr>
    <w:rPr>
      <w:sz w:val="20"/>
      <w:szCs w:val="20"/>
    </w:rPr>
  </w:style>
  <w:style w:type="character" w:customStyle="1" w:styleId="normaltableChar">
    <w:name w:val="normal table Char"/>
    <w:basedOn w:val="DefaultParagraphFont"/>
    <w:link w:val="TableNormal1"/>
    <w:rsid w:val="00726D6D"/>
    <w:rPr>
      <w:sz w:val="20"/>
      <w:szCs w:val="20"/>
    </w:rPr>
  </w:style>
  <w:style w:type="paragraph" w:styleId="NormalWeb">
    <w:name w:val="Normal (Web)"/>
    <w:basedOn w:val="Normal"/>
    <w:uiPriority w:val="99"/>
    <w:semiHidden/>
    <w:unhideWhenUsed/>
    <w:rsid w:val="005961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1">
    <w:name w:val="Bullet 1"/>
    <w:basedOn w:val="ListParagraph"/>
    <w:qFormat/>
    <w:rsid w:val="0033343E"/>
    <w:pPr>
      <w:numPr>
        <w:ilvl w:val="1"/>
        <w:numId w:val="7"/>
      </w:numPr>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733">
      <w:bodyDiv w:val="1"/>
      <w:marLeft w:val="0"/>
      <w:marRight w:val="0"/>
      <w:marTop w:val="0"/>
      <w:marBottom w:val="0"/>
      <w:divBdr>
        <w:top w:val="none" w:sz="0" w:space="0" w:color="auto"/>
        <w:left w:val="none" w:sz="0" w:space="0" w:color="auto"/>
        <w:bottom w:val="none" w:sz="0" w:space="0" w:color="auto"/>
        <w:right w:val="none" w:sz="0" w:space="0" w:color="auto"/>
      </w:divBdr>
    </w:div>
    <w:div w:id="20712626">
      <w:bodyDiv w:val="1"/>
      <w:marLeft w:val="0"/>
      <w:marRight w:val="0"/>
      <w:marTop w:val="0"/>
      <w:marBottom w:val="0"/>
      <w:divBdr>
        <w:top w:val="none" w:sz="0" w:space="0" w:color="auto"/>
        <w:left w:val="none" w:sz="0" w:space="0" w:color="auto"/>
        <w:bottom w:val="none" w:sz="0" w:space="0" w:color="auto"/>
        <w:right w:val="none" w:sz="0" w:space="0" w:color="auto"/>
      </w:divBdr>
    </w:div>
    <w:div w:id="34620635">
      <w:bodyDiv w:val="1"/>
      <w:marLeft w:val="0"/>
      <w:marRight w:val="0"/>
      <w:marTop w:val="0"/>
      <w:marBottom w:val="0"/>
      <w:divBdr>
        <w:top w:val="none" w:sz="0" w:space="0" w:color="auto"/>
        <w:left w:val="none" w:sz="0" w:space="0" w:color="auto"/>
        <w:bottom w:val="none" w:sz="0" w:space="0" w:color="auto"/>
        <w:right w:val="none" w:sz="0" w:space="0" w:color="auto"/>
      </w:divBdr>
    </w:div>
    <w:div w:id="254703866">
      <w:bodyDiv w:val="1"/>
      <w:marLeft w:val="0"/>
      <w:marRight w:val="0"/>
      <w:marTop w:val="0"/>
      <w:marBottom w:val="0"/>
      <w:divBdr>
        <w:top w:val="none" w:sz="0" w:space="0" w:color="auto"/>
        <w:left w:val="none" w:sz="0" w:space="0" w:color="auto"/>
        <w:bottom w:val="none" w:sz="0" w:space="0" w:color="auto"/>
        <w:right w:val="none" w:sz="0" w:space="0" w:color="auto"/>
      </w:divBdr>
    </w:div>
    <w:div w:id="519785139">
      <w:bodyDiv w:val="1"/>
      <w:marLeft w:val="0"/>
      <w:marRight w:val="0"/>
      <w:marTop w:val="0"/>
      <w:marBottom w:val="0"/>
      <w:divBdr>
        <w:top w:val="none" w:sz="0" w:space="0" w:color="auto"/>
        <w:left w:val="none" w:sz="0" w:space="0" w:color="auto"/>
        <w:bottom w:val="none" w:sz="0" w:space="0" w:color="auto"/>
        <w:right w:val="none" w:sz="0" w:space="0" w:color="auto"/>
      </w:divBdr>
    </w:div>
    <w:div w:id="635575237">
      <w:bodyDiv w:val="1"/>
      <w:marLeft w:val="0"/>
      <w:marRight w:val="0"/>
      <w:marTop w:val="0"/>
      <w:marBottom w:val="0"/>
      <w:divBdr>
        <w:top w:val="none" w:sz="0" w:space="0" w:color="auto"/>
        <w:left w:val="none" w:sz="0" w:space="0" w:color="auto"/>
        <w:bottom w:val="none" w:sz="0" w:space="0" w:color="auto"/>
        <w:right w:val="none" w:sz="0" w:space="0" w:color="auto"/>
      </w:divBdr>
    </w:div>
    <w:div w:id="738331044">
      <w:bodyDiv w:val="1"/>
      <w:marLeft w:val="0"/>
      <w:marRight w:val="0"/>
      <w:marTop w:val="0"/>
      <w:marBottom w:val="0"/>
      <w:divBdr>
        <w:top w:val="none" w:sz="0" w:space="0" w:color="auto"/>
        <w:left w:val="none" w:sz="0" w:space="0" w:color="auto"/>
        <w:bottom w:val="none" w:sz="0" w:space="0" w:color="auto"/>
        <w:right w:val="none" w:sz="0" w:space="0" w:color="auto"/>
      </w:divBdr>
    </w:div>
    <w:div w:id="890314149">
      <w:bodyDiv w:val="1"/>
      <w:marLeft w:val="0"/>
      <w:marRight w:val="0"/>
      <w:marTop w:val="0"/>
      <w:marBottom w:val="0"/>
      <w:divBdr>
        <w:top w:val="none" w:sz="0" w:space="0" w:color="auto"/>
        <w:left w:val="none" w:sz="0" w:space="0" w:color="auto"/>
        <w:bottom w:val="none" w:sz="0" w:space="0" w:color="auto"/>
        <w:right w:val="none" w:sz="0" w:space="0" w:color="auto"/>
      </w:divBdr>
    </w:div>
    <w:div w:id="996303863">
      <w:bodyDiv w:val="1"/>
      <w:marLeft w:val="0"/>
      <w:marRight w:val="0"/>
      <w:marTop w:val="0"/>
      <w:marBottom w:val="0"/>
      <w:divBdr>
        <w:top w:val="none" w:sz="0" w:space="0" w:color="auto"/>
        <w:left w:val="none" w:sz="0" w:space="0" w:color="auto"/>
        <w:bottom w:val="none" w:sz="0" w:space="0" w:color="auto"/>
        <w:right w:val="none" w:sz="0" w:space="0" w:color="auto"/>
      </w:divBdr>
    </w:div>
    <w:div w:id="1016813718">
      <w:bodyDiv w:val="1"/>
      <w:marLeft w:val="0"/>
      <w:marRight w:val="0"/>
      <w:marTop w:val="0"/>
      <w:marBottom w:val="0"/>
      <w:divBdr>
        <w:top w:val="none" w:sz="0" w:space="0" w:color="auto"/>
        <w:left w:val="none" w:sz="0" w:space="0" w:color="auto"/>
        <w:bottom w:val="none" w:sz="0" w:space="0" w:color="auto"/>
        <w:right w:val="none" w:sz="0" w:space="0" w:color="auto"/>
      </w:divBdr>
    </w:div>
    <w:div w:id="1021667219">
      <w:bodyDiv w:val="1"/>
      <w:marLeft w:val="0"/>
      <w:marRight w:val="0"/>
      <w:marTop w:val="0"/>
      <w:marBottom w:val="0"/>
      <w:divBdr>
        <w:top w:val="none" w:sz="0" w:space="0" w:color="auto"/>
        <w:left w:val="none" w:sz="0" w:space="0" w:color="auto"/>
        <w:bottom w:val="none" w:sz="0" w:space="0" w:color="auto"/>
        <w:right w:val="none" w:sz="0" w:space="0" w:color="auto"/>
      </w:divBdr>
    </w:div>
    <w:div w:id="1021736928">
      <w:bodyDiv w:val="1"/>
      <w:marLeft w:val="0"/>
      <w:marRight w:val="0"/>
      <w:marTop w:val="0"/>
      <w:marBottom w:val="0"/>
      <w:divBdr>
        <w:top w:val="none" w:sz="0" w:space="0" w:color="auto"/>
        <w:left w:val="none" w:sz="0" w:space="0" w:color="auto"/>
        <w:bottom w:val="none" w:sz="0" w:space="0" w:color="auto"/>
        <w:right w:val="none" w:sz="0" w:space="0" w:color="auto"/>
      </w:divBdr>
    </w:div>
    <w:div w:id="1213077812">
      <w:bodyDiv w:val="1"/>
      <w:marLeft w:val="0"/>
      <w:marRight w:val="0"/>
      <w:marTop w:val="0"/>
      <w:marBottom w:val="0"/>
      <w:divBdr>
        <w:top w:val="none" w:sz="0" w:space="0" w:color="auto"/>
        <w:left w:val="none" w:sz="0" w:space="0" w:color="auto"/>
        <w:bottom w:val="none" w:sz="0" w:space="0" w:color="auto"/>
        <w:right w:val="none" w:sz="0" w:space="0" w:color="auto"/>
      </w:divBdr>
    </w:div>
    <w:div w:id="1237978282">
      <w:bodyDiv w:val="1"/>
      <w:marLeft w:val="0"/>
      <w:marRight w:val="0"/>
      <w:marTop w:val="0"/>
      <w:marBottom w:val="0"/>
      <w:divBdr>
        <w:top w:val="none" w:sz="0" w:space="0" w:color="auto"/>
        <w:left w:val="none" w:sz="0" w:space="0" w:color="auto"/>
        <w:bottom w:val="none" w:sz="0" w:space="0" w:color="auto"/>
        <w:right w:val="none" w:sz="0" w:space="0" w:color="auto"/>
      </w:divBdr>
    </w:div>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 w:id="1825270885">
      <w:bodyDiv w:val="1"/>
      <w:marLeft w:val="0"/>
      <w:marRight w:val="0"/>
      <w:marTop w:val="0"/>
      <w:marBottom w:val="0"/>
      <w:divBdr>
        <w:top w:val="none" w:sz="0" w:space="0" w:color="auto"/>
        <w:left w:val="none" w:sz="0" w:space="0" w:color="auto"/>
        <w:bottom w:val="none" w:sz="0" w:space="0" w:color="auto"/>
        <w:right w:val="none" w:sz="0" w:space="0" w:color="auto"/>
      </w:divBdr>
    </w:div>
    <w:div w:id="1883059577">
      <w:bodyDiv w:val="1"/>
      <w:marLeft w:val="0"/>
      <w:marRight w:val="0"/>
      <w:marTop w:val="0"/>
      <w:marBottom w:val="0"/>
      <w:divBdr>
        <w:top w:val="none" w:sz="0" w:space="0" w:color="auto"/>
        <w:left w:val="none" w:sz="0" w:space="0" w:color="auto"/>
        <w:bottom w:val="none" w:sz="0" w:space="0" w:color="auto"/>
        <w:right w:val="none" w:sz="0" w:space="0" w:color="auto"/>
      </w:divBdr>
    </w:div>
    <w:div w:id="1935935469">
      <w:bodyDiv w:val="1"/>
      <w:marLeft w:val="0"/>
      <w:marRight w:val="0"/>
      <w:marTop w:val="0"/>
      <w:marBottom w:val="0"/>
      <w:divBdr>
        <w:top w:val="none" w:sz="0" w:space="0" w:color="auto"/>
        <w:left w:val="none" w:sz="0" w:space="0" w:color="auto"/>
        <w:bottom w:val="none" w:sz="0" w:space="0" w:color="auto"/>
        <w:right w:val="none" w:sz="0" w:space="0" w:color="auto"/>
      </w:divBdr>
    </w:div>
    <w:div w:id="20205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budget.org/open-budget-surve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scaltransparency.net/case-studies/"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gov.scot/publications/improving-peoples-wellbeing-6-key-questions-ask-making-budget-decisions/" TargetMode="External"/><Relationship Id="rId18" Type="http://schemas.openxmlformats.org/officeDocument/2006/relationships/hyperlink" Target="https://www.scottishhumanrights.com/media/2546/hrbw-collected-briefing-papers-vfinal.pdf" TargetMode="External"/><Relationship Id="rId26" Type="http://schemas.openxmlformats.org/officeDocument/2006/relationships/hyperlink" Target="https://internationalbudget.org/wp-content/uploads/Government_Transparency_Guide1.pdf" TargetMode="External"/><Relationship Id="rId39" Type="http://schemas.openxmlformats.org/officeDocument/2006/relationships/hyperlink" Target="https://www.gov.scot/binaries/content/documents/govscot/publications/corporate-report/2021/09/fiscal-framework-outturn-report-2021/documents/fiscal-framework-outturn-report-2021/fiscal-framework-outturn-report-2021/govscot%3Adocument/fiscal-framework-outturn-report-2021.pdf" TargetMode="External"/><Relationship Id="rId21" Type="http://schemas.openxmlformats.org/officeDocument/2006/relationships/hyperlink" Target="https://www.gov.scot/publications/open-government-action-plan-2021-to-2025-commitment-1-fiscal-openness-and-transparency/pages/progress-to-may-2023/" TargetMode="External"/><Relationship Id="rId34" Type="http://schemas.openxmlformats.org/officeDocument/2006/relationships/hyperlink" Target="https://www.gov.scot/publications/scotland-finances-2021-22-scottish-budget/" TargetMode="External"/><Relationship Id="rId42" Type="http://schemas.openxmlformats.org/officeDocument/2006/relationships/hyperlink" Target="https://www.gov.scot/binaries/content/documents/govscot/publications/statistics/2022/08/government-expenditure-revenue-scotland-gers-2021-22/documents/government-expenditure-revenue-scotland-2021-22/government-expenditure-revenue-scotland-2021-22/govscot%3Adocument/government-expenditure-revenue-scotland-2021-22.pdf" TargetMode="External"/><Relationship Id="rId47" Type="http://schemas.openxmlformats.org/officeDocument/2006/relationships/hyperlink" Target="https://fraserofallander.org/weekly-update-what-did-we-learn-from-the-scottish-governments-medium-term-financial-strategy/" TargetMode="External"/><Relationship Id="rId50" Type="http://schemas.openxmlformats.org/officeDocument/2006/relationships/hyperlink" Target="https://www.gov.scot/binaries/content/documents/govscot/publications/corporate-report/2017/06/budget-process-review-group-final-report/documents/budget-process-review-group-final-report-pdf/budget-process-review-group-final-report-pdf/govscot%3Adocument/Budget%2BProcess%2BReview%2BGroup%2B-%2Bfinal%2Breport.pdf" TargetMode="External"/><Relationship Id="rId7" Type="http://schemas.openxmlformats.org/officeDocument/2006/relationships/hyperlink" Target="https://www.scottishhumanrights.com/media/2014/scotland-2019-obi-report-vfinal.pdf" TargetMode="External"/><Relationship Id="rId2" Type="http://schemas.openxmlformats.org/officeDocument/2006/relationships/hyperlink" Target="https://www.gcu.ac.uk/staff/angelaohagan" TargetMode="External"/><Relationship Id="rId16" Type="http://schemas.openxmlformats.org/officeDocument/2006/relationships/hyperlink" Target="https://www.scottishhumanrights.com/media/1814/shrc_panel_self-assessment_tool_vfinal.pdf" TargetMode="External"/><Relationship Id="rId29" Type="http://schemas.openxmlformats.org/officeDocument/2006/relationships/hyperlink" Target="https://www.gov.scot/binaries/content/documents/govscot/publications/corporate-report/2021/01/scotlands-fiscal-outlook-scottish-governments-medium-term-financial-strategy/documents/scotlands-fiscal-outlook-scottish-governments-medium-term-financial-strategy-january-2021/scotlands-fiscal-outlook-scottish-governments-medium-term-financial-strategy-january-2021/govscot%3Adocument/scotlands-fiscal-outlook-scottish-governments-medium-term-financial-strategy-january-2021.pdf" TargetMode="External"/><Relationship Id="rId11" Type="http://schemas.openxmlformats.org/officeDocument/2006/relationships/hyperlink" Target="https://www.internationalbudget.org/" TargetMode="External"/><Relationship Id="rId24" Type="http://schemas.openxmlformats.org/officeDocument/2006/relationships/hyperlink" Target="https://internationalbudget.org/wp-content/uploads/Government_Transparency_Guide1.pdf" TargetMode="External"/><Relationship Id="rId32" Type="http://schemas.openxmlformats.org/officeDocument/2006/relationships/hyperlink" Target="https://internationalbudget.org/wp-content/uploads/Government_Transparency_Guide1.pdf" TargetMode="External"/><Relationship Id="rId37" Type="http://schemas.openxmlformats.org/officeDocument/2006/relationships/hyperlink" Target="https://internationalbudget.org/wp-content/uploads/Government_Transparency_Guide1.pdf" TargetMode="External"/><Relationship Id="rId40" Type="http://schemas.openxmlformats.org/officeDocument/2006/relationships/hyperlink" Target="http://www.oecd.org/dataoecd/33/13/1905258.pdf" TargetMode="External"/><Relationship Id="rId45" Type="http://schemas.openxmlformats.org/officeDocument/2006/relationships/hyperlink" Target="https://www.gov.scot/publications/scottish-government-consolidated-accounts-year-ended-31-march-2022/documents/" TargetMode="External"/><Relationship Id="rId53" Type="http://schemas.openxmlformats.org/officeDocument/2006/relationships/hyperlink" Target="https://www.gov.scot/binaries/content/documents/govscot/publications/corporate-report/2023/09/scottish-government-response-equality-human-rights-budget-advisory-groups-recommendations/documents/scottish-government-response-equality-human-rights-budget-advisory-groups-recommendations/scottish-government-response-equality-human-rights-budget-advisory-groups-recommendations/govscot%3Adocument/scottish-government-response-equality-human-rights-budget-advisory-groups-recommendations.pdf" TargetMode="External"/><Relationship Id="rId5" Type="http://schemas.openxmlformats.org/officeDocument/2006/relationships/hyperlink" Target="https://www.scottishhumanrights.com/projects-and-programmes/human-rights-budget-work/" TargetMode="External"/><Relationship Id="rId10" Type="http://schemas.openxmlformats.org/officeDocument/2006/relationships/hyperlink" Target="https://internationalbudget.org/open-budget-survey" TargetMode="External"/><Relationship Id="rId19" Type="http://schemas.openxmlformats.org/officeDocument/2006/relationships/hyperlink" Target="https://www.gov.scot/publications/improving-peoples-wellbeing-6-key-questions-ask-making-budget-decisions/" TargetMode="External"/><Relationship Id="rId31" Type="http://schemas.openxmlformats.org/officeDocument/2006/relationships/hyperlink" Target="https://www.gov.scot/publications/scottish-budget-2021-2022-equality-fairer-scotland-budget-statement/documents/" TargetMode="External"/><Relationship Id="rId44" Type="http://schemas.openxmlformats.org/officeDocument/2006/relationships/hyperlink" Target="https://www.gov.scot/publications/scottish-consolidated-fund-accounts-year-ended-31-march-2022/" TargetMode="External"/><Relationship Id="rId52" Type="http://schemas.openxmlformats.org/officeDocument/2006/relationships/hyperlink" Target="https://www.gov.scot/publications/open-government-action-plan-2021-to-2025-commitment-1-fiscal-openness-and-transparency/pages/progress-to-may-2023/" TargetMode="External"/><Relationship Id="rId4" Type="http://schemas.openxmlformats.org/officeDocument/2006/relationships/hyperlink" Target="https://www.gla.ac.uk/schools/socialpolitical/staff/joferrie/" TargetMode="External"/><Relationship Id="rId9" Type="http://schemas.openxmlformats.org/officeDocument/2006/relationships/hyperlink" Target="https://www.scottishhumanrights.com/media/2014/scotland-2019-obi-report-vfinal.pdf" TargetMode="External"/><Relationship Id="rId14" Type="http://schemas.openxmlformats.org/officeDocument/2006/relationships/hyperlink" Target="https://www.gov.scot/binaries/content/documents/govscot/publications/transparency-data/2021/03/scotland-finances-2021-22-scottish-budget/documents/scotland-finances-2021-22-scottish-budget-key-facts-figures-2021-22/scotland-finances-2021-22-scottish-budget-key-facts-figures-2021-22/govscot%3Adocument/scotland-finances-2021-22-scottish-budget-key-facts-figures-2021-22.pdf" TargetMode="External"/><Relationship Id="rId22" Type="http://schemas.openxmlformats.org/officeDocument/2006/relationships/hyperlink" Target="https://www.gov.scot/binaries/content/documents/govscot/publications/corporate-report/2023/09/scottish-government-response-equality-human-rights-budget-advisory-groups-recommendations/documents/scottish-government-response-equality-human-rights-budget-advisory-groups-recommendations/scottish-government-response-equality-human-rights-budget-advisory-groups-recommendations/govscot%3Adocument/scottish-government-response-equality-human-rights-budget-advisory-groups-recommendations.pdf" TargetMode="External"/><Relationship Id="rId27" Type="http://schemas.openxmlformats.org/officeDocument/2006/relationships/hyperlink" Target="https://www.gov.scot/binaries/content/documents/govscot/publications/corporate-report/2021/01/scottish-budget-2021-22/documents/scottish-budget-2021-22/scottish-budget-2021-22/govscot%3Adocument/scottish-budget-2021-22.pdf" TargetMode="External"/><Relationship Id="rId30" Type="http://schemas.openxmlformats.org/officeDocument/2006/relationships/hyperlink" Target="https://www.fiscalcommission.scot/publications/scotlands-economic-and-fiscal-forecasts-january-2021/" TargetMode="External"/><Relationship Id="rId35" Type="http://schemas.openxmlformats.org/officeDocument/2006/relationships/hyperlink" Target="https://internationalbudget.org/wp-content/uploads/Government_Transparency_Guide1.pdf" TargetMode="External"/><Relationship Id="rId43" Type="http://schemas.openxmlformats.org/officeDocument/2006/relationships/hyperlink" Target="https://www.gov.scot/publications/fiscal-framework-outturn-report-2022/documents/" TargetMode="External"/><Relationship Id="rId48" Type="http://schemas.openxmlformats.org/officeDocument/2006/relationships/hyperlink" Target="https://www.gov.scot/binaries/content/documents/govscot/publications/corporate-report/2017/06/budget-process-review-group-final-report/documents/budget-process-review-group-final-report-pdf/budget-process-review-group-final-report-pdf/govscot%3Adocument/Budget%2BProcess%2BReview%2BGroup%2B-%2Bfinal%2Breport.pdf" TargetMode="External"/><Relationship Id="rId8" Type="http://schemas.openxmlformats.org/officeDocument/2006/relationships/hyperlink" Target="https://internationalbudget.org/wp-content/uploads/2021-01-14-2021-OBS-Guide-and-Questionnaire_Final-ENGLISH.pdf" TargetMode="External"/><Relationship Id="rId51" Type="http://schemas.openxmlformats.org/officeDocument/2006/relationships/hyperlink" Target="https://www.gov.scot/publications/scotlands-open-government-action-plan-2021-25/pages/2/" TargetMode="External"/><Relationship Id="rId3" Type="http://schemas.openxmlformats.org/officeDocument/2006/relationships/hyperlink" Target="https://www.alliance-scotland.org.uk/blog/team/lucy-mulvagh/" TargetMode="External"/><Relationship Id="rId12" Type="http://schemas.openxmlformats.org/officeDocument/2006/relationships/hyperlink" Target="https://internationalbudget.org/open-budget-survey" TargetMode="External"/><Relationship Id="rId17" Type="http://schemas.openxmlformats.org/officeDocument/2006/relationships/hyperlink" Target="https://nationalperformance.gov.scot/national-outcomes" TargetMode="External"/><Relationship Id="rId25" Type="http://schemas.openxmlformats.org/officeDocument/2006/relationships/hyperlink" Target="https://www.oecd.org/governance/budgeting/Best%20Practices%20Budget%20Transparency%20-%20complete%20with%20cover%20page.pdf" TargetMode="External"/><Relationship Id="rId33" Type="http://schemas.openxmlformats.org/officeDocument/2006/relationships/hyperlink" Target="https://internationalbudget.org/wp-content/uploads/Government_Transparency_Guide1.pdf" TargetMode="External"/><Relationship Id="rId38" Type="http://schemas.openxmlformats.org/officeDocument/2006/relationships/hyperlink" Target="https://internationalbudget.org/wp-content/uploads/Government_Transparency_Guide1.pdf" TargetMode="External"/><Relationship Id="rId46" Type="http://schemas.openxmlformats.org/officeDocument/2006/relationships/hyperlink" Target="https://internationalbudget.org/wp-content/uploads/Government_Transparency_Guide1.pdf" TargetMode="External"/><Relationship Id="rId20" Type="http://schemas.openxmlformats.org/officeDocument/2006/relationships/hyperlink" Target="https://www.gov.scot/publications/scotlands-open-government-action-plan-2021-25/pages/2/" TargetMode="External"/><Relationship Id="rId41" Type="http://schemas.openxmlformats.org/officeDocument/2006/relationships/hyperlink" Target="https://internationalbudget.org/wp-content/uploads/Government_Transparency_Guide1.pdf" TargetMode="External"/><Relationship Id="rId54" Type="http://schemas.openxmlformats.org/officeDocument/2006/relationships/hyperlink" Target="https://www.gov.scot/publications/equality-budget-advisory-group-recommendations-for-equality-and-human-rights-budgeting---2021-2026-parliamentary-session/pages/executive-summary/" TargetMode="External"/><Relationship Id="rId1" Type="http://schemas.openxmlformats.org/officeDocument/2006/relationships/hyperlink" Target="http://www.scottishhumanrights.com/about/people/" TargetMode="External"/><Relationship Id="rId6" Type="http://schemas.openxmlformats.org/officeDocument/2006/relationships/hyperlink" Target="https://www.internationalbudget.org/" TargetMode="External"/><Relationship Id="rId15" Type="http://schemas.openxmlformats.org/officeDocument/2006/relationships/hyperlink" Target="https://www.gov.scot/binaries/content/documents/govscot/publications/transparency-data/2021/03/scotland-finances-2021-22-scottish-budget/documents/scotland-finances-2021-22-scottish-budget-key-facts-figures-2021-22/scotland-finances-2021-22-scottish-budget-key-facts-figures-2021-22/govscot%3Adocument/scotland-finances-2021-22-scottish-budget-key-facts-figures-2021-22.pdf" TargetMode="External"/><Relationship Id="rId23" Type="http://schemas.openxmlformats.org/officeDocument/2006/relationships/hyperlink" Target="https://internationalbudget.org/wp-content/uploads/Government_Transparency_Guide1.pdf" TargetMode="External"/><Relationship Id="rId28" Type="http://schemas.openxmlformats.org/officeDocument/2006/relationships/hyperlink" Target="https://www.gov.scot/binaries/content/documents/govscot/publications/corporate-report/2021/01/scottish-budget-2021-22/documents/scottish-budget-2021-22/scottish-budget-2021-22/govscot%3Adocument/scottish-budget-2021-22.pdf" TargetMode="External"/><Relationship Id="rId36" Type="http://schemas.openxmlformats.org/officeDocument/2006/relationships/hyperlink" Target="https://www.gov.scot/publications/scottish-budget-2021-22/" TargetMode="External"/><Relationship Id="rId49" Type="http://schemas.openxmlformats.org/officeDocument/2006/relationships/hyperlink" Target="https://www.gov.scot/publications/scottish-governments-medium-term-financial-strategy-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SHRC new brand">
      <a:dk1>
        <a:srgbClr val="0B1C32"/>
      </a:dk1>
      <a:lt1>
        <a:sysClr val="window" lastClr="FFFFFF"/>
      </a:lt1>
      <a:dk2>
        <a:srgbClr val="0B1C32"/>
      </a:dk2>
      <a:lt2>
        <a:srgbClr val="8BADDC"/>
      </a:lt2>
      <a:accent1>
        <a:srgbClr val="0069B4"/>
      </a:accent1>
      <a:accent2>
        <a:srgbClr val="FF3366"/>
      </a:accent2>
      <a:accent3>
        <a:srgbClr val="39C980"/>
      </a:accent3>
      <a:accent4>
        <a:srgbClr val="E6A7F1"/>
      </a:accent4>
      <a:accent5>
        <a:srgbClr val="E2AA13"/>
      </a:accent5>
      <a:accent6>
        <a:srgbClr val="0B1C32"/>
      </a:accent6>
      <a:hlink>
        <a:srgbClr val="0069B4"/>
      </a:hlink>
      <a:folHlink>
        <a:srgbClr val="0B1C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34DDA-0D47-49F1-911D-C0D9C0FA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8932</Words>
  <Characters>50913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Scotland's Open Budget Survey 2023 Word</vt:lpstr>
    </vt:vector>
  </TitlesOfParts>
  <Company>Scottish Government</Company>
  <LinksUpToDate>false</LinksUpToDate>
  <CharactersWithSpaces>59726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Scotland's Open Budget Survey 2023 Word</dc:title>
  <dc:subject/>
  <dc:creator>Scottish Human Rights Commission</dc:creator>
  <cp:keywords/>
  <dc:description/>
  <cp:lastModifiedBy>Megan Strickland</cp:lastModifiedBy>
  <cp:revision>2</cp:revision>
  <cp:lastPrinted>2024-05-28T08:55:00Z</cp:lastPrinted>
  <dcterms:created xsi:type="dcterms:W3CDTF">2024-07-10T07:43:00Z</dcterms:created>
  <dcterms:modified xsi:type="dcterms:W3CDTF">2024-07-10T07:43:00Z</dcterms:modified>
</cp:coreProperties>
</file>