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EDCC2" w14:textId="77777777" w:rsidR="002E37AB" w:rsidRPr="007930BA" w:rsidRDefault="002E37AB" w:rsidP="00BD18F7">
      <w:pPr>
        <w:ind w:left="-426" w:right="-188"/>
        <w:jc w:val="center"/>
        <w:rPr>
          <w:b/>
          <w:bCs/>
          <w:sz w:val="28"/>
          <w:szCs w:val="28"/>
        </w:rPr>
      </w:pPr>
      <w:r w:rsidRPr="007930BA">
        <w:rPr>
          <w:b/>
          <w:bCs/>
          <w:noProof/>
          <w:sz w:val="28"/>
          <w:szCs w:val="28"/>
          <w:lang w:eastAsia="en-GB"/>
        </w:rPr>
        <w:drawing>
          <wp:inline distT="0" distB="0" distL="0" distR="0" wp14:anchorId="1EA906F7" wp14:editId="557CE37B">
            <wp:extent cx="1966823" cy="13187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RC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9264" cy="1333752"/>
                    </a:xfrm>
                    <a:prstGeom prst="rect">
                      <a:avLst/>
                    </a:prstGeom>
                  </pic:spPr>
                </pic:pic>
              </a:graphicData>
            </a:graphic>
          </wp:inline>
        </w:drawing>
      </w:r>
    </w:p>
    <w:p w14:paraId="1E57CFA0" w14:textId="0A209054" w:rsidR="00D54D9E" w:rsidRPr="007930BA" w:rsidRDefault="002E37AB" w:rsidP="00BD18F7">
      <w:pPr>
        <w:pStyle w:val="Title"/>
        <w:ind w:left="-426" w:right="-188"/>
        <w:rPr>
          <w:rFonts w:cstheme="minorHAnsi"/>
          <w:sz w:val="28"/>
          <w:szCs w:val="28"/>
        </w:rPr>
      </w:pPr>
      <w:bookmarkStart w:id="0" w:name="_GoBack"/>
      <w:r w:rsidRPr="007930BA">
        <w:rPr>
          <w:rFonts w:cstheme="minorHAnsi"/>
          <w:sz w:val="28"/>
          <w:szCs w:val="28"/>
        </w:rPr>
        <w:t xml:space="preserve">Response to </w:t>
      </w:r>
      <w:r w:rsidR="00D54D9E" w:rsidRPr="007930BA">
        <w:rPr>
          <w:rFonts w:cstheme="minorHAnsi"/>
          <w:sz w:val="28"/>
          <w:szCs w:val="28"/>
        </w:rPr>
        <w:t xml:space="preserve">the </w:t>
      </w:r>
      <w:r w:rsidR="003662C1" w:rsidRPr="007930BA">
        <w:rPr>
          <w:rFonts w:cstheme="minorHAnsi"/>
          <w:sz w:val="28"/>
          <w:szCs w:val="28"/>
        </w:rPr>
        <w:t>Justice Committee</w:t>
      </w:r>
      <w:r w:rsidR="00D54D9E" w:rsidRPr="007930BA">
        <w:rPr>
          <w:rFonts w:cstheme="minorHAnsi"/>
          <w:sz w:val="28"/>
          <w:szCs w:val="28"/>
        </w:rPr>
        <w:t xml:space="preserve"> </w:t>
      </w:r>
    </w:p>
    <w:p w14:paraId="29C4FC1A" w14:textId="0F7BF727" w:rsidR="00D54D9E" w:rsidRPr="007930BA" w:rsidRDefault="003662C1" w:rsidP="00BD18F7">
      <w:pPr>
        <w:pStyle w:val="Title"/>
        <w:ind w:left="-426" w:right="-188"/>
        <w:rPr>
          <w:rFonts w:cstheme="minorHAnsi"/>
          <w:sz w:val="28"/>
          <w:szCs w:val="28"/>
        </w:rPr>
      </w:pPr>
      <w:r w:rsidRPr="007930BA">
        <w:rPr>
          <w:rFonts w:cstheme="minorHAnsi"/>
          <w:sz w:val="28"/>
          <w:szCs w:val="28"/>
        </w:rPr>
        <w:t>Pre</w:t>
      </w:r>
      <w:r w:rsidR="00FE7CE3" w:rsidRPr="007930BA">
        <w:rPr>
          <w:rFonts w:cstheme="minorHAnsi"/>
          <w:sz w:val="28"/>
          <w:szCs w:val="28"/>
        </w:rPr>
        <w:t xml:space="preserve"> </w:t>
      </w:r>
      <w:r w:rsidR="00D54D9E" w:rsidRPr="007930BA">
        <w:rPr>
          <w:rFonts w:cstheme="minorHAnsi"/>
          <w:sz w:val="28"/>
          <w:szCs w:val="28"/>
        </w:rPr>
        <w:t xml:space="preserve">Budget </w:t>
      </w:r>
      <w:r w:rsidR="00FE7CE3" w:rsidRPr="007930BA">
        <w:rPr>
          <w:rFonts w:cstheme="minorHAnsi"/>
          <w:sz w:val="28"/>
          <w:szCs w:val="28"/>
        </w:rPr>
        <w:t>Scrutiny 2020-21 Consultation</w:t>
      </w:r>
    </w:p>
    <w:bookmarkEnd w:id="0"/>
    <w:p w14:paraId="05083629" w14:textId="7D6476EC" w:rsidR="00D54D9E" w:rsidRPr="007930BA" w:rsidRDefault="0075104A" w:rsidP="00BD18F7">
      <w:pPr>
        <w:pStyle w:val="Title"/>
        <w:ind w:left="-426" w:right="-188"/>
        <w:rPr>
          <w:rFonts w:cstheme="minorHAnsi"/>
          <w:sz w:val="28"/>
          <w:szCs w:val="28"/>
        </w:rPr>
      </w:pPr>
      <w:r>
        <w:rPr>
          <w:rFonts w:cstheme="minorHAnsi"/>
          <w:sz w:val="28"/>
          <w:szCs w:val="28"/>
        </w:rPr>
        <w:t>September</w:t>
      </w:r>
      <w:r w:rsidR="00D54D9E" w:rsidRPr="007930BA">
        <w:rPr>
          <w:rFonts w:cstheme="minorHAnsi"/>
          <w:sz w:val="28"/>
          <w:szCs w:val="28"/>
        </w:rPr>
        <w:t xml:space="preserve"> 2019</w:t>
      </w:r>
    </w:p>
    <w:p w14:paraId="271265AA" w14:textId="77777777" w:rsidR="00D54D9E" w:rsidRPr="007930BA" w:rsidRDefault="00D54D9E" w:rsidP="00BD18F7">
      <w:pPr>
        <w:ind w:left="-426" w:right="-188"/>
        <w:rPr>
          <w:sz w:val="28"/>
          <w:szCs w:val="28"/>
        </w:rPr>
      </w:pPr>
    </w:p>
    <w:p w14:paraId="07D2E907" w14:textId="77777777" w:rsidR="002E37AB" w:rsidRPr="007930BA" w:rsidRDefault="002E37AB" w:rsidP="00BD18F7">
      <w:pPr>
        <w:pBdr>
          <w:top w:val="single" w:sz="4" w:space="1" w:color="000000"/>
          <w:bottom w:val="single" w:sz="4" w:space="1" w:color="000000"/>
        </w:pBdr>
        <w:tabs>
          <w:tab w:val="num" w:pos="0"/>
        </w:tabs>
        <w:ind w:left="-426" w:right="-188"/>
        <w:jc w:val="both"/>
        <w:rPr>
          <w:sz w:val="28"/>
          <w:szCs w:val="28"/>
        </w:rPr>
      </w:pPr>
      <w:r w:rsidRPr="007930BA">
        <w:rPr>
          <w:sz w:val="28"/>
          <w:szCs w:val="28"/>
        </w:rPr>
        <w:t xml:space="preserve">The Scottish Human Rights Commission was established by The Scottish Commission for Human Rights Act 2006, and formed in 2008.  The Commission is the national human rights institution for Scotland and is independent of the Scottish Government and Parliament in the exercise of its functions.  The Commission has a general duty to promote human rights and a series of specific powers to protect human rights for everyone in Scotland. </w:t>
      </w:r>
    </w:p>
    <w:p w14:paraId="414262D9" w14:textId="77777777" w:rsidR="00C64763" w:rsidRPr="007930BA" w:rsidRDefault="00C64763" w:rsidP="00BD18F7">
      <w:pPr>
        <w:pStyle w:val="Title"/>
        <w:ind w:left="-426" w:right="-188"/>
        <w:rPr>
          <w:rFonts w:cstheme="minorHAnsi"/>
          <w:sz w:val="28"/>
          <w:szCs w:val="28"/>
        </w:rPr>
      </w:pPr>
    </w:p>
    <w:p w14:paraId="44A0C6C2" w14:textId="2A108A95" w:rsidR="006E76E4" w:rsidRDefault="006E76E4" w:rsidP="006E76E4">
      <w:pPr>
        <w:pStyle w:val="Heading1"/>
        <w:rPr>
          <w:sz w:val="26"/>
          <w:szCs w:val="26"/>
        </w:rPr>
      </w:pPr>
      <w:r w:rsidRPr="007930BA">
        <w:rPr>
          <w:sz w:val="26"/>
          <w:szCs w:val="26"/>
        </w:rPr>
        <w:t>Introduction</w:t>
      </w:r>
    </w:p>
    <w:p w14:paraId="57A14F84" w14:textId="77777777" w:rsidR="00433B3E" w:rsidRPr="00433B3E" w:rsidRDefault="00433B3E" w:rsidP="00433B3E"/>
    <w:p w14:paraId="114B8FF9" w14:textId="52E2399E" w:rsidR="00884C96" w:rsidRPr="007930BA" w:rsidRDefault="003662C1" w:rsidP="00BD18F7">
      <w:pPr>
        <w:ind w:left="-426" w:right="-188"/>
        <w:rPr>
          <w:sz w:val="26"/>
          <w:szCs w:val="26"/>
        </w:rPr>
      </w:pPr>
      <w:r w:rsidRPr="007930BA">
        <w:rPr>
          <w:sz w:val="26"/>
          <w:szCs w:val="26"/>
        </w:rPr>
        <w:t xml:space="preserve">The </w:t>
      </w:r>
      <w:r w:rsidR="00676894" w:rsidRPr="007930BA">
        <w:rPr>
          <w:sz w:val="26"/>
          <w:szCs w:val="26"/>
        </w:rPr>
        <w:t>Commission welcomes</w:t>
      </w:r>
      <w:r w:rsidR="00936097" w:rsidRPr="007930BA">
        <w:rPr>
          <w:sz w:val="26"/>
          <w:szCs w:val="26"/>
        </w:rPr>
        <w:t xml:space="preserve"> </w:t>
      </w:r>
      <w:r w:rsidRPr="007930BA">
        <w:rPr>
          <w:sz w:val="26"/>
          <w:szCs w:val="26"/>
        </w:rPr>
        <w:t>the opportunity to respond the Justice Committee’</w:t>
      </w:r>
      <w:r w:rsidR="00FE7CE3" w:rsidRPr="007930BA">
        <w:rPr>
          <w:sz w:val="26"/>
          <w:szCs w:val="26"/>
        </w:rPr>
        <w:t xml:space="preserve">s </w:t>
      </w:r>
      <w:r w:rsidRPr="007930BA">
        <w:rPr>
          <w:sz w:val="26"/>
          <w:szCs w:val="26"/>
        </w:rPr>
        <w:t xml:space="preserve">pre-budget </w:t>
      </w:r>
      <w:r w:rsidR="00FE7CE3" w:rsidRPr="007930BA">
        <w:rPr>
          <w:sz w:val="26"/>
          <w:szCs w:val="26"/>
        </w:rPr>
        <w:t>scrutiny of the Scottish Government’s Budget for 2</w:t>
      </w:r>
      <w:r w:rsidR="00B70D98" w:rsidRPr="007930BA">
        <w:rPr>
          <w:sz w:val="26"/>
          <w:szCs w:val="26"/>
        </w:rPr>
        <w:t xml:space="preserve">020-21. </w:t>
      </w:r>
      <w:r w:rsidR="00884C96" w:rsidRPr="007930BA">
        <w:rPr>
          <w:sz w:val="26"/>
          <w:szCs w:val="26"/>
        </w:rPr>
        <w:t xml:space="preserve">This submission </w:t>
      </w:r>
      <w:r w:rsidR="00B70D98" w:rsidRPr="007930BA">
        <w:rPr>
          <w:sz w:val="26"/>
          <w:szCs w:val="26"/>
        </w:rPr>
        <w:t>focuses on setting</w:t>
      </w:r>
      <w:r w:rsidR="00884C96" w:rsidRPr="007930BA">
        <w:rPr>
          <w:sz w:val="26"/>
          <w:szCs w:val="26"/>
        </w:rPr>
        <w:t xml:space="preserve"> out </w:t>
      </w:r>
      <w:r w:rsidR="00FE7CE3" w:rsidRPr="007930BA">
        <w:rPr>
          <w:sz w:val="26"/>
          <w:szCs w:val="26"/>
        </w:rPr>
        <w:t xml:space="preserve">some general points about human rights based </w:t>
      </w:r>
      <w:r w:rsidR="00CF7D7E" w:rsidRPr="007930BA">
        <w:rPr>
          <w:sz w:val="26"/>
          <w:szCs w:val="26"/>
        </w:rPr>
        <w:t>budgeting</w:t>
      </w:r>
      <w:r w:rsidR="00B70D98" w:rsidRPr="007930BA">
        <w:rPr>
          <w:sz w:val="26"/>
          <w:szCs w:val="26"/>
        </w:rPr>
        <w:t xml:space="preserve"> and how the Committee could connect their pre-budget scrutiny to the human rights obligations</w:t>
      </w:r>
      <w:r w:rsidR="002D48C4">
        <w:rPr>
          <w:sz w:val="26"/>
          <w:szCs w:val="26"/>
        </w:rPr>
        <w:t xml:space="preserve"> of government and parliament</w:t>
      </w:r>
      <w:r w:rsidR="00B70D98" w:rsidRPr="007930BA">
        <w:rPr>
          <w:sz w:val="26"/>
          <w:szCs w:val="26"/>
        </w:rPr>
        <w:t xml:space="preserve">.  </w:t>
      </w:r>
    </w:p>
    <w:p w14:paraId="1ADF06D2" w14:textId="77777777" w:rsidR="0009788E" w:rsidRPr="007930BA" w:rsidRDefault="0009788E" w:rsidP="00BD18F7">
      <w:pPr>
        <w:ind w:left="-426" w:right="-188"/>
        <w:rPr>
          <w:sz w:val="26"/>
          <w:szCs w:val="26"/>
          <w:lang w:val="en-US"/>
        </w:rPr>
      </w:pPr>
    </w:p>
    <w:p w14:paraId="79156513" w14:textId="4F3A8DEF" w:rsidR="0009788E" w:rsidRDefault="001B4181" w:rsidP="00BD18F7">
      <w:pPr>
        <w:ind w:left="-426" w:right="-188"/>
        <w:rPr>
          <w:rStyle w:val="Strong"/>
          <w:sz w:val="26"/>
          <w:szCs w:val="26"/>
          <w:u w:val="single"/>
        </w:rPr>
      </w:pPr>
      <w:r w:rsidRPr="007930BA">
        <w:rPr>
          <w:rStyle w:val="Strong"/>
          <w:sz w:val="26"/>
          <w:szCs w:val="26"/>
          <w:u w:val="single"/>
        </w:rPr>
        <w:t>Human rights based budgeting</w:t>
      </w:r>
    </w:p>
    <w:p w14:paraId="1463E7B6" w14:textId="77777777" w:rsidR="00433B3E" w:rsidRPr="007930BA" w:rsidRDefault="00433B3E" w:rsidP="00BD18F7">
      <w:pPr>
        <w:ind w:left="-426" w:right="-188"/>
        <w:rPr>
          <w:rStyle w:val="Strong"/>
          <w:sz w:val="26"/>
          <w:szCs w:val="26"/>
          <w:u w:val="single"/>
        </w:rPr>
      </w:pPr>
    </w:p>
    <w:p w14:paraId="035687A5" w14:textId="232D3EF4" w:rsidR="007B596E" w:rsidRPr="007930BA" w:rsidRDefault="00C54669" w:rsidP="0041357D">
      <w:pPr>
        <w:ind w:right="521"/>
        <w:rPr>
          <w:sz w:val="26"/>
          <w:szCs w:val="26"/>
        </w:rPr>
      </w:pPr>
      <w:r w:rsidRPr="007930BA">
        <w:rPr>
          <w:sz w:val="26"/>
          <w:szCs w:val="26"/>
        </w:rPr>
        <w:t>“</w:t>
      </w:r>
      <w:r w:rsidRPr="007930BA">
        <w:rPr>
          <w:i/>
          <w:sz w:val="26"/>
          <w:szCs w:val="26"/>
        </w:rPr>
        <w:t>Budgets are a key sign of a government's values.  So, if human rights are not in there, what’s being said is that they are not a value worth counting</w:t>
      </w:r>
      <w:r w:rsidRPr="007930BA">
        <w:rPr>
          <w:sz w:val="26"/>
          <w:szCs w:val="26"/>
        </w:rPr>
        <w:t>”.</w:t>
      </w:r>
    </w:p>
    <w:p w14:paraId="44D39259" w14:textId="19D4E518" w:rsidR="00C54669" w:rsidRPr="007930BA" w:rsidRDefault="00C54669" w:rsidP="0041357D">
      <w:pPr>
        <w:ind w:right="521"/>
        <w:rPr>
          <w:sz w:val="26"/>
          <w:szCs w:val="26"/>
        </w:rPr>
      </w:pPr>
      <w:r w:rsidRPr="007930BA">
        <w:rPr>
          <w:sz w:val="26"/>
          <w:szCs w:val="26"/>
        </w:rPr>
        <w:t>Prof. Aoife Nolan.</w:t>
      </w:r>
    </w:p>
    <w:p w14:paraId="03A23155" w14:textId="77777777" w:rsidR="003E3D93" w:rsidRPr="007930BA" w:rsidRDefault="003E3D93" w:rsidP="00BD18F7">
      <w:pPr>
        <w:ind w:left="-426" w:right="-188"/>
        <w:rPr>
          <w:sz w:val="26"/>
          <w:szCs w:val="26"/>
        </w:rPr>
      </w:pPr>
    </w:p>
    <w:p w14:paraId="004B4AEC" w14:textId="77777777" w:rsidR="0009788E" w:rsidRPr="007930BA" w:rsidRDefault="0009788E" w:rsidP="00BD18F7">
      <w:pPr>
        <w:ind w:left="-426" w:right="-188"/>
        <w:rPr>
          <w:sz w:val="26"/>
          <w:szCs w:val="26"/>
        </w:rPr>
      </w:pPr>
      <w:r w:rsidRPr="007930BA">
        <w:rPr>
          <w:sz w:val="26"/>
          <w:szCs w:val="26"/>
        </w:rPr>
        <w:t xml:space="preserve">Human rights budgeting enhances the social impact of economic policy by ensuring that budgetary decisions benefit those most in need. It improves transparency and accountability, by linking budgetary decisions more directly to the human rights outcomes the government has prioritised. </w:t>
      </w:r>
      <w:r w:rsidR="00F94A73" w:rsidRPr="007930BA">
        <w:rPr>
          <w:sz w:val="26"/>
          <w:szCs w:val="26"/>
        </w:rPr>
        <w:t xml:space="preserve">It provides the opportunity for government to work in cooperation with civil society to more effectively  implement policies </w:t>
      </w:r>
      <w:r w:rsidR="0032676C" w:rsidRPr="007930BA">
        <w:rPr>
          <w:sz w:val="26"/>
          <w:szCs w:val="26"/>
        </w:rPr>
        <w:t xml:space="preserve">by, for example, </w:t>
      </w:r>
      <w:r w:rsidR="00F94A73" w:rsidRPr="007930BA">
        <w:rPr>
          <w:sz w:val="26"/>
          <w:szCs w:val="26"/>
        </w:rPr>
        <w:t>strengthen</w:t>
      </w:r>
      <w:r w:rsidR="0032676C" w:rsidRPr="007930BA">
        <w:rPr>
          <w:sz w:val="26"/>
          <w:szCs w:val="26"/>
        </w:rPr>
        <w:t>ing</w:t>
      </w:r>
      <w:r w:rsidR="00F94A73" w:rsidRPr="007930BA">
        <w:rPr>
          <w:sz w:val="26"/>
          <w:szCs w:val="26"/>
        </w:rPr>
        <w:t xml:space="preserve"> the monitoring and evaluation of programmes and plans. </w:t>
      </w:r>
      <w:r w:rsidRPr="007930BA">
        <w:rPr>
          <w:sz w:val="26"/>
          <w:szCs w:val="26"/>
        </w:rPr>
        <w:t>This, in turn, deepens citizen participation in democratic processes. It can also be used to</w:t>
      </w:r>
      <w:r w:rsidR="00F94A73" w:rsidRPr="007930BA">
        <w:rPr>
          <w:sz w:val="26"/>
          <w:szCs w:val="26"/>
        </w:rPr>
        <w:t xml:space="preserve"> progress  government’s compliance</w:t>
      </w:r>
      <w:r w:rsidRPr="007930BA">
        <w:rPr>
          <w:sz w:val="26"/>
          <w:szCs w:val="26"/>
        </w:rPr>
        <w:t xml:space="preserve"> with its national and international human rights commitments.</w:t>
      </w:r>
    </w:p>
    <w:p w14:paraId="6385E652" w14:textId="77777777" w:rsidR="001B4181" w:rsidRPr="007930BA" w:rsidRDefault="001B4181" w:rsidP="00BD18F7">
      <w:pPr>
        <w:ind w:left="-426" w:right="-188"/>
        <w:rPr>
          <w:rStyle w:val="Strong"/>
          <w:b w:val="0"/>
          <w:sz w:val="26"/>
          <w:szCs w:val="26"/>
        </w:rPr>
      </w:pPr>
    </w:p>
    <w:p w14:paraId="22E1C689" w14:textId="77777777" w:rsidR="001B4181" w:rsidRPr="007930BA" w:rsidRDefault="001B4181" w:rsidP="00BD18F7">
      <w:pPr>
        <w:ind w:left="-426" w:right="-188"/>
        <w:rPr>
          <w:rFonts w:eastAsiaTheme="minorEastAsia"/>
          <w:sz w:val="26"/>
          <w:szCs w:val="26"/>
        </w:rPr>
      </w:pPr>
      <w:r w:rsidRPr="007930BA">
        <w:rPr>
          <w:rStyle w:val="Strong"/>
          <w:b w:val="0"/>
          <w:sz w:val="26"/>
          <w:szCs w:val="26"/>
        </w:rPr>
        <w:t>H</w:t>
      </w:r>
      <w:r w:rsidR="006F2D77" w:rsidRPr="007930BA">
        <w:rPr>
          <w:rStyle w:val="Strong"/>
          <w:b w:val="0"/>
          <w:sz w:val="26"/>
          <w:szCs w:val="26"/>
        </w:rPr>
        <w:t xml:space="preserve">uman rights budgeting needs to be embedded into a broader rights-based policy process. </w:t>
      </w:r>
      <w:r w:rsidRPr="007930BA">
        <w:rPr>
          <w:rFonts w:eastAsiaTheme="minorEastAsia"/>
          <w:sz w:val="26"/>
          <w:szCs w:val="26"/>
        </w:rPr>
        <w:t xml:space="preserve">Before the development of the budget comes the development of laws, polices and plans </w:t>
      </w:r>
      <w:r w:rsidRPr="007930BA">
        <w:rPr>
          <w:rFonts w:eastAsiaTheme="minorEastAsia"/>
          <w:sz w:val="26"/>
          <w:szCs w:val="26"/>
        </w:rPr>
        <w:lastRenderedPageBreak/>
        <w:t xml:space="preserve">that are also shaped by human rights standards.  The budget should then be created to directly realise these laws, policies and plans. </w:t>
      </w:r>
    </w:p>
    <w:p w14:paraId="4A8A4977" w14:textId="77777777" w:rsidR="00141FE3" w:rsidRPr="007930BA" w:rsidRDefault="00141FE3" w:rsidP="00BD18F7">
      <w:pPr>
        <w:ind w:left="-426" w:right="-188"/>
        <w:rPr>
          <w:rFonts w:eastAsia="Century Gothic"/>
          <w:sz w:val="26"/>
          <w:szCs w:val="26"/>
        </w:rPr>
      </w:pPr>
    </w:p>
    <w:p w14:paraId="36312FF3" w14:textId="77777777" w:rsidR="006F2D77" w:rsidRPr="007930BA" w:rsidRDefault="006F2D77" w:rsidP="00BD18F7">
      <w:pPr>
        <w:ind w:left="-426" w:right="-188"/>
        <w:rPr>
          <w:rStyle w:val="Strong"/>
          <w:b w:val="0"/>
          <w:sz w:val="26"/>
          <w:szCs w:val="26"/>
        </w:rPr>
      </w:pPr>
      <w:r w:rsidRPr="007930BA">
        <w:rPr>
          <w:rStyle w:val="Strong"/>
          <w:b w:val="0"/>
          <w:sz w:val="26"/>
          <w:szCs w:val="26"/>
        </w:rPr>
        <w:t xml:space="preserve">This involves: </w:t>
      </w:r>
    </w:p>
    <w:p w14:paraId="18094F54" w14:textId="77777777" w:rsidR="006F2D77" w:rsidRPr="007930BA" w:rsidRDefault="006F2D77" w:rsidP="006E76E4">
      <w:pPr>
        <w:pStyle w:val="bullet"/>
        <w:numPr>
          <w:ilvl w:val="0"/>
          <w:numId w:val="28"/>
        </w:numPr>
        <w:rPr>
          <w:rStyle w:val="Strong"/>
          <w:b w:val="0"/>
          <w:bCs w:val="0"/>
          <w:sz w:val="26"/>
          <w:szCs w:val="26"/>
        </w:rPr>
      </w:pPr>
      <w:r w:rsidRPr="007930BA">
        <w:rPr>
          <w:rStyle w:val="Strong"/>
          <w:b w:val="0"/>
          <w:bCs w:val="0"/>
          <w:sz w:val="26"/>
          <w:szCs w:val="26"/>
        </w:rPr>
        <w:t xml:space="preserve">examining a country’s human rights international human rights obligations and commitments; </w:t>
      </w:r>
    </w:p>
    <w:p w14:paraId="3834F905" w14:textId="77777777" w:rsidR="006F2D77" w:rsidRPr="007930BA" w:rsidRDefault="006F2D77" w:rsidP="006E76E4">
      <w:pPr>
        <w:pStyle w:val="bullet"/>
        <w:numPr>
          <w:ilvl w:val="0"/>
          <w:numId w:val="28"/>
        </w:numPr>
        <w:rPr>
          <w:rStyle w:val="Strong"/>
          <w:b w:val="0"/>
          <w:bCs w:val="0"/>
          <w:sz w:val="26"/>
          <w:szCs w:val="26"/>
        </w:rPr>
      </w:pPr>
      <w:r w:rsidRPr="007930BA">
        <w:rPr>
          <w:rStyle w:val="Strong"/>
          <w:b w:val="0"/>
          <w:bCs w:val="0"/>
          <w:sz w:val="26"/>
          <w:szCs w:val="26"/>
        </w:rPr>
        <w:t xml:space="preserve">analysing the human rights concerns facing different groups within and across different social sectors (e.g. housing, health, social care, education etc); </w:t>
      </w:r>
    </w:p>
    <w:p w14:paraId="634214CC" w14:textId="3C85D604" w:rsidR="006F2D77" w:rsidRPr="007930BA" w:rsidRDefault="006F2D77" w:rsidP="006E76E4">
      <w:pPr>
        <w:pStyle w:val="bullet"/>
        <w:numPr>
          <w:ilvl w:val="0"/>
          <w:numId w:val="28"/>
        </w:numPr>
        <w:rPr>
          <w:rStyle w:val="Strong"/>
          <w:b w:val="0"/>
          <w:bCs w:val="0"/>
          <w:sz w:val="26"/>
          <w:szCs w:val="26"/>
        </w:rPr>
      </w:pPr>
      <w:r w:rsidRPr="007930BA">
        <w:rPr>
          <w:rStyle w:val="Strong"/>
          <w:b w:val="0"/>
          <w:bCs w:val="0"/>
          <w:sz w:val="26"/>
          <w:szCs w:val="26"/>
        </w:rPr>
        <w:t>designing</w:t>
      </w:r>
      <w:r w:rsidR="006E76E4" w:rsidRPr="007930BA">
        <w:rPr>
          <w:rStyle w:val="Strong"/>
          <w:b w:val="0"/>
          <w:bCs w:val="0"/>
          <w:sz w:val="26"/>
          <w:szCs w:val="26"/>
        </w:rPr>
        <w:t xml:space="preserve"> (with impact assessment)</w:t>
      </w:r>
      <w:r w:rsidRPr="007930BA">
        <w:rPr>
          <w:rStyle w:val="Strong"/>
          <w:b w:val="0"/>
          <w:bCs w:val="0"/>
          <w:sz w:val="26"/>
          <w:szCs w:val="26"/>
        </w:rPr>
        <w:t xml:space="preserve"> policies that respond to those concerns; </w:t>
      </w:r>
    </w:p>
    <w:p w14:paraId="7924CA18" w14:textId="77777777" w:rsidR="00141FE3" w:rsidRPr="007930BA" w:rsidRDefault="00141FE3" w:rsidP="006E76E4">
      <w:pPr>
        <w:pStyle w:val="bullet"/>
        <w:numPr>
          <w:ilvl w:val="0"/>
          <w:numId w:val="28"/>
        </w:numPr>
        <w:rPr>
          <w:rStyle w:val="Strong"/>
          <w:b w:val="0"/>
          <w:bCs w:val="0"/>
          <w:sz w:val="26"/>
          <w:szCs w:val="26"/>
        </w:rPr>
      </w:pPr>
      <w:r w:rsidRPr="007930BA">
        <w:rPr>
          <w:rStyle w:val="Strong"/>
          <w:b w:val="0"/>
          <w:bCs w:val="0"/>
          <w:sz w:val="26"/>
          <w:szCs w:val="26"/>
        </w:rPr>
        <w:t>generati</w:t>
      </w:r>
      <w:r w:rsidR="00B235EE" w:rsidRPr="007930BA">
        <w:rPr>
          <w:rStyle w:val="Strong"/>
          <w:b w:val="0"/>
          <w:bCs w:val="0"/>
          <w:sz w:val="26"/>
          <w:szCs w:val="26"/>
        </w:rPr>
        <w:t>ng</w:t>
      </w:r>
      <w:r w:rsidRPr="007930BA">
        <w:rPr>
          <w:rStyle w:val="Strong"/>
          <w:b w:val="0"/>
          <w:bCs w:val="0"/>
          <w:sz w:val="26"/>
          <w:szCs w:val="26"/>
        </w:rPr>
        <w:t xml:space="preserve"> adequate resource to fu</w:t>
      </w:r>
      <w:r w:rsidR="003A407A" w:rsidRPr="007930BA">
        <w:rPr>
          <w:rStyle w:val="Strong"/>
          <w:b w:val="0"/>
          <w:bCs w:val="0"/>
          <w:sz w:val="26"/>
          <w:szCs w:val="26"/>
        </w:rPr>
        <w:t>nd those policies;</w:t>
      </w:r>
    </w:p>
    <w:p w14:paraId="136A01D1" w14:textId="77777777" w:rsidR="006F2D77" w:rsidRPr="007930BA" w:rsidRDefault="006F2D77" w:rsidP="006E76E4">
      <w:pPr>
        <w:pStyle w:val="bullet"/>
        <w:numPr>
          <w:ilvl w:val="0"/>
          <w:numId w:val="28"/>
        </w:numPr>
        <w:rPr>
          <w:rStyle w:val="Strong"/>
          <w:b w:val="0"/>
          <w:bCs w:val="0"/>
          <w:sz w:val="26"/>
          <w:szCs w:val="26"/>
        </w:rPr>
      </w:pPr>
      <w:r w:rsidRPr="007930BA">
        <w:rPr>
          <w:rStyle w:val="Strong"/>
          <w:b w:val="0"/>
          <w:bCs w:val="0"/>
          <w:sz w:val="26"/>
          <w:szCs w:val="26"/>
        </w:rPr>
        <w:t xml:space="preserve">allocating adequate budget to implement those policies; </w:t>
      </w:r>
    </w:p>
    <w:p w14:paraId="64D47595" w14:textId="77777777" w:rsidR="006F2D77" w:rsidRPr="007930BA" w:rsidRDefault="006F2D77" w:rsidP="006E76E4">
      <w:pPr>
        <w:pStyle w:val="bullet"/>
        <w:numPr>
          <w:ilvl w:val="0"/>
          <w:numId w:val="28"/>
        </w:numPr>
        <w:rPr>
          <w:rStyle w:val="Strong"/>
          <w:b w:val="0"/>
          <w:bCs w:val="0"/>
          <w:sz w:val="26"/>
          <w:szCs w:val="26"/>
        </w:rPr>
      </w:pPr>
      <w:r w:rsidRPr="007930BA">
        <w:rPr>
          <w:rStyle w:val="Strong"/>
          <w:b w:val="0"/>
          <w:bCs w:val="0"/>
          <w:sz w:val="26"/>
          <w:szCs w:val="26"/>
        </w:rPr>
        <w:t xml:space="preserve">monitoring of whether the money was spent as planned, what was delivered and to whom; and </w:t>
      </w:r>
    </w:p>
    <w:p w14:paraId="45AFB9FB" w14:textId="77777777" w:rsidR="006F2D77" w:rsidRPr="007930BA" w:rsidRDefault="006F2D77" w:rsidP="006E76E4">
      <w:pPr>
        <w:pStyle w:val="bullet"/>
        <w:numPr>
          <w:ilvl w:val="0"/>
          <w:numId w:val="28"/>
        </w:numPr>
        <w:rPr>
          <w:rStyle w:val="Strong"/>
          <w:b w:val="0"/>
          <w:bCs w:val="0"/>
          <w:sz w:val="26"/>
          <w:szCs w:val="26"/>
        </w:rPr>
      </w:pPr>
      <w:r w:rsidRPr="007930BA">
        <w:rPr>
          <w:rStyle w:val="Strong"/>
          <w:b w:val="0"/>
          <w:bCs w:val="0"/>
          <w:sz w:val="26"/>
          <w:szCs w:val="26"/>
        </w:rPr>
        <w:t xml:space="preserve">evaluating whether the policy was implemented and what impact it had. </w:t>
      </w:r>
    </w:p>
    <w:p w14:paraId="017EBEC2" w14:textId="77777777" w:rsidR="001B4181" w:rsidRPr="007930BA" w:rsidRDefault="001B4181" w:rsidP="00BD18F7">
      <w:pPr>
        <w:ind w:left="-426" w:right="-188"/>
        <w:rPr>
          <w:sz w:val="26"/>
          <w:szCs w:val="26"/>
        </w:rPr>
      </w:pPr>
    </w:p>
    <w:p w14:paraId="3B043BF0" w14:textId="45EF4556" w:rsidR="006E76E4" w:rsidRPr="007930BA" w:rsidRDefault="006E76E4" w:rsidP="006E76E4">
      <w:pPr>
        <w:ind w:left="-426"/>
        <w:rPr>
          <w:sz w:val="26"/>
          <w:szCs w:val="26"/>
        </w:rPr>
      </w:pPr>
      <w:r w:rsidRPr="007930BA">
        <w:rPr>
          <w:sz w:val="26"/>
          <w:szCs w:val="26"/>
        </w:rPr>
        <w:t>Allocating resources in a way that enables a government to fulfil its human rights obligations requires consideration of that government’s specific human rights obligations as set out in the human rights treaties it has signed and ratified. Extensive guidance on how those commitments translate into policy objectives on the ground is then set out in a number of places, including</w:t>
      </w:r>
      <w:r w:rsidR="002D48C4">
        <w:rPr>
          <w:sz w:val="26"/>
          <w:szCs w:val="26"/>
        </w:rPr>
        <w:t xml:space="preserve"> fore example</w:t>
      </w:r>
      <w:r w:rsidRPr="007930BA">
        <w:rPr>
          <w:sz w:val="26"/>
          <w:szCs w:val="26"/>
        </w:rPr>
        <w:t xml:space="preserve">: General Comments </w:t>
      </w:r>
      <w:r w:rsidR="002D48C4">
        <w:rPr>
          <w:sz w:val="26"/>
          <w:szCs w:val="26"/>
        </w:rPr>
        <w:t xml:space="preserve">and concluding observations and recommendations </w:t>
      </w:r>
      <w:r w:rsidRPr="007930BA">
        <w:rPr>
          <w:sz w:val="26"/>
          <w:szCs w:val="26"/>
        </w:rPr>
        <w:t>provided by the various UN Treaty Body Committees</w:t>
      </w:r>
      <w:r w:rsidRPr="007930BA">
        <w:rPr>
          <w:rStyle w:val="FootnoteReference"/>
          <w:sz w:val="26"/>
          <w:szCs w:val="26"/>
        </w:rPr>
        <w:footnoteReference w:id="1"/>
      </w:r>
      <w:r w:rsidR="002D48C4">
        <w:rPr>
          <w:sz w:val="26"/>
          <w:szCs w:val="26"/>
        </w:rPr>
        <w:t xml:space="preserve"> and</w:t>
      </w:r>
      <w:r w:rsidR="00682CDA">
        <w:rPr>
          <w:sz w:val="26"/>
          <w:szCs w:val="26"/>
        </w:rPr>
        <w:t xml:space="preserve"> </w:t>
      </w:r>
      <w:r w:rsidRPr="007930BA">
        <w:rPr>
          <w:sz w:val="26"/>
          <w:szCs w:val="26"/>
        </w:rPr>
        <w:t>reports from Special Rapporteur on specific issues.</w:t>
      </w:r>
    </w:p>
    <w:p w14:paraId="22E2C9CC" w14:textId="5C66E58C" w:rsidR="006E76E4" w:rsidRPr="007930BA" w:rsidRDefault="006E76E4" w:rsidP="006E76E4">
      <w:pPr>
        <w:ind w:left="-426"/>
        <w:rPr>
          <w:sz w:val="26"/>
          <w:szCs w:val="26"/>
        </w:rPr>
      </w:pPr>
    </w:p>
    <w:p w14:paraId="2B2EF600" w14:textId="49046F35" w:rsidR="006E76E4" w:rsidRPr="007930BA" w:rsidRDefault="006E76E4" w:rsidP="006E76E4">
      <w:pPr>
        <w:ind w:left="-426"/>
        <w:rPr>
          <w:sz w:val="26"/>
          <w:szCs w:val="26"/>
        </w:rPr>
      </w:pPr>
      <w:r w:rsidRPr="007930BA">
        <w:rPr>
          <w:sz w:val="26"/>
          <w:szCs w:val="26"/>
        </w:rPr>
        <w:t>Appendix 1 begins to set out the human rights framework obligations and recent UN Treaty Body conclusions and recommendations relating to prison conditions, over-crowding, staffing levels, non-custodial options, safety and security of staff and prisoners, health and mental health services, data availability and a variety of issues relating to children and young people in detention.</w:t>
      </w:r>
      <w:r w:rsidR="00F77522">
        <w:rPr>
          <w:sz w:val="26"/>
          <w:szCs w:val="26"/>
        </w:rPr>
        <w:t xml:space="preserve">  These should be given consideration when developing budget allocation recommendations.</w:t>
      </w:r>
    </w:p>
    <w:p w14:paraId="2C7C475F" w14:textId="77777777" w:rsidR="006E76E4" w:rsidRPr="007930BA" w:rsidRDefault="006E76E4" w:rsidP="006E76E4">
      <w:pPr>
        <w:ind w:left="-426"/>
        <w:rPr>
          <w:sz w:val="26"/>
          <w:szCs w:val="26"/>
        </w:rPr>
      </w:pPr>
    </w:p>
    <w:p w14:paraId="36CAD18B" w14:textId="77777777" w:rsidR="006E76E4" w:rsidRPr="007930BA" w:rsidRDefault="006E76E4" w:rsidP="006E76E4">
      <w:pPr>
        <w:ind w:left="-426"/>
        <w:rPr>
          <w:sz w:val="26"/>
          <w:szCs w:val="26"/>
        </w:rPr>
      </w:pPr>
      <w:r w:rsidRPr="007930BA">
        <w:rPr>
          <w:sz w:val="26"/>
          <w:szCs w:val="26"/>
        </w:rPr>
        <w:t xml:space="preserve">Having analysed the human rights concerns facing different groups within and across different social sectors and having assessed a country’s human rights international human rights obligations and commitments, resource allocations should: </w:t>
      </w:r>
    </w:p>
    <w:p w14:paraId="1DD586A8" w14:textId="77777777" w:rsidR="006E76E4" w:rsidRPr="007930BA" w:rsidRDefault="006E76E4" w:rsidP="006E76E4">
      <w:pPr>
        <w:rPr>
          <w:sz w:val="26"/>
          <w:szCs w:val="26"/>
        </w:rPr>
      </w:pPr>
    </w:p>
    <w:p w14:paraId="239BA79C" w14:textId="77777777" w:rsidR="006E76E4" w:rsidRPr="007930BA" w:rsidRDefault="006E76E4" w:rsidP="006E76E4">
      <w:pPr>
        <w:pStyle w:val="ListParagraph"/>
        <w:numPr>
          <w:ilvl w:val="0"/>
          <w:numId w:val="27"/>
        </w:numPr>
        <w:autoSpaceDE/>
        <w:autoSpaceDN/>
        <w:adjustRightInd/>
        <w:ind w:left="284"/>
        <w:rPr>
          <w:sz w:val="26"/>
          <w:szCs w:val="26"/>
        </w:rPr>
      </w:pPr>
      <w:r w:rsidRPr="007930BA">
        <w:rPr>
          <w:sz w:val="26"/>
          <w:szCs w:val="26"/>
        </w:rPr>
        <w:t xml:space="preserve">prioritise the fulfilment of basic levels of rights enjoyment for all (Minimum Core); </w:t>
      </w:r>
    </w:p>
    <w:p w14:paraId="2579D794" w14:textId="77777777" w:rsidR="006E76E4" w:rsidRPr="007930BA" w:rsidRDefault="006E76E4" w:rsidP="006E76E4">
      <w:pPr>
        <w:pStyle w:val="ListParagraph"/>
        <w:numPr>
          <w:ilvl w:val="0"/>
          <w:numId w:val="27"/>
        </w:numPr>
        <w:autoSpaceDE/>
        <w:autoSpaceDN/>
        <w:adjustRightInd/>
        <w:ind w:left="284"/>
        <w:rPr>
          <w:sz w:val="26"/>
          <w:szCs w:val="26"/>
        </w:rPr>
      </w:pPr>
      <w:r w:rsidRPr="007930BA">
        <w:rPr>
          <w:sz w:val="26"/>
          <w:szCs w:val="26"/>
        </w:rPr>
        <w:t xml:space="preserve">be allocated in a way that reduces inequalities by meeting the needs of vulnerable and marginalised groups (Non-discrimination); and </w:t>
      </w:r>
    </w:p>
    <w:p w14:paraId="4E4FFC51" w14:textId="77777777" w:rsidR="006E76E4" w:rsidRPr="007930BA" w:rsidRDefault="006E76E4" w:rsidP="006E76E4">
      <w:pPr>
        <w:pStyle w:val="ListParagraph"/>
        <w:numPr>
          <w:ilvl w:val="0"/>
          <w:numId w:val="27"/>
        </w:numPr>
        <w:autoSpaceDE/>
        <w:autoSpaceDN/>
        <w:adjustRightInd/>
        <w:ind w:left="284"/>
        <w:rPr>
          <w:sz w:val="26"/>
          <w:szCs w:val="26"/>
        </w:rPr>
      </w:pPr>
      <w:r w:rsidRPr="007930BA">
        <w:rPr>
          <w:sz w:val="26"/>
          <w:szCs w:val="26"/>
        </w:rPr>
        <w:t>generally increase in line with increased revenue, and not be reduced unjustifiably (Progressive Realisation) .</w:t>
      </w:r>
    </w:p>
    <w:p w14:paraId="6D8F8810" w14:textId="77777777" w:rsidR="006E76E4" w:rsidRPr="007930BA" w:rsidRDefault="006E76E4" w:rsidP="006E76E4">
      <w:pPr>
        <w:pStyle w:val="ListParagraph"/>
        <w:rPr>
          <w:sz w:val="26"/>
          <w:szCs w:val="26"/>
        </w:rPr>
      </w:pPr>
    </w:p>
    <w:p w14:paraId="3663C972" w14:textId="77777777" w:rsidR="006E76E4" w:rsidRPr="007930BA" w:rsidRDefault="006E76E4" w:rsidP="006E76E4">
      <w:pPr>
        <w:pStyle w:val="ListParagraph"/>
        <w:ind w:left="-426"/>
        <w:rPr>
          <w:sz w:val="26"/>
          <w:szCs w:val="26"/>
        </w:rPr>
      </w:pPr>
      <w:r w:rsidRPr="007930BA">
        <w:rPr>
          <w:sz w:val="26"/>
          <w:szCs w:val="26"/>
        </w:rPr>
        <w:t>The process of deciding on those allocations should also reflect the principles of participation, transparency and accountability.</w:t>
      </w:r>
    </w:p>
    <w:p w14:paraId="537D7768" w14:textId="77777777" w:rsidR="006E76E4" w:rsidRPr="007930BA" w:rsidRDefault="006E76E4" w:rsidP="006E76E4">
      <w:pPr>
        <w:pStyle w:val="Heading1"/>
        <w:rPr>
          <w:sz w:val="26"/>
          <w:szCs w:val="26"/>
        </w:rPr>
      </w:pPr>
    </w:p>
    <w:p w14:paraId="7935E082" w14:textId="3688C99C" w:rsidR="006E76E4" w:rsidRDefault="006E76E4" w:rsidP="006E76E4">
      <w:pPr>
        <w:pStyle w:val="Heading1"/>
        <w:rPr>
          <w:sz w:val="26"/>
          <w:szCs w:val="26"/>
        </w:rPr>
      </w:pPr>
      <w:r w:rsidRPr="007930BA">
        <w:rPr>
          <w:sz w:val="26"/>
          <w:szCs w:val="26"/>
        </w:rPr>
        <w:t>Human Rights Impact Assessments</w:t>
      </w:r>
    </w:p>
    <w:p w14:paraId="38AB2822" w14:textId="77777777" w:rsidR="00433B3E" w:rsidRPr="00433B3E" w:rsidRDefault="00433B3E" w:rsidP="00433B3E"/>
    <w:p w14:paraId="22F2E279" w14:textId="77777777" w:rsidR="006E76E4" w:rsidRPr="007930BA" w:rsidRDefault="006E76E4" w:rsidP="006E76E4">
      <w:pPr>
        <w:ind w:left="-426"/>
        <w:rPr>
          <w:sz w:val="26"/>
          <w:szCs w:val="26"/>
        </w:rPr>
      </w:pPr>
      <w:r w:rsidRPr="007930BA">
        <w:rPr>
          <w:sz w:val="26"/>
          <w:szCs w:val="26"/>
        </w:rPr>
        <w:t>A number of UN human rights committees have proposed the use of human rights impact assessments to support better policy making and fiscal decisions.</w:t>
      </w:r>
      <w:r w:rsidRPr="007930BA">
        <w:rPr>
          <w:rStyle w:val="FootnoteReference"/>
          <w:sz w:val="26"/>
          <w:szCs w:val="26"/>
        </w:rPr>
        <w:footnoteReference w:id="2"/>
      </w:r>
      <w:r w:rsidRPr="007930BA">
        <w:rPr>
          <w:sz w:val="26"/>
          <w:szCs w:val="26"/>
        </w:rPr>
        <w:t xml:space="preserve">  As Ms Sepúlveda noted:</w:t>
      </w:r>
    </w:p>
    <w:p w14:paraId="5AE7108D" w14:textId="77777777" w:rsidR="006E76E4" w:rsidRPr="007930BA" w:rsidRDefault="006E76E4" w:rsidP="006E76E4">
      <w:pPr>
        <w:pStyle w:val="Quote"/>
        <w:ind w:left="0" w:right="521"/>
        <w:rPr>
          <w:i w:val="0"/>
          <w:sz w:val="26"/>
          <w:szCs w:val="26"/>
        </w:rPr>
      </w:pPr>
      <w:r w:rsidRPr="007930BA">
        <w:rPr>
          <w:i w:val="0"/>
          <w:sz w:val="26"/>
          <w:szCs w:val="26"/>
        </w:rPr>
        <w:t xml:space="preserve">[Governments should] </w:t>
      </w:r>
      <w:r w:rsidRPr="007930BA">
        <w:rPr>
          <w:rStyle w:val="QuoteChar"/>
          <w:sz w:val="26"/>
          <w:szCs w:val="26"/>
        </w:rPr>
        <w:t>“</w:t>
      </w:r>
      <w:r w:rsidRPr="007930BA">
        <w:rPr>
          <w:rStyle w:val="QuoteChar"/>
          <w:i/>
          <w:sz w:val="26"/>
          <w:szCs w:val="26"/>
        </w:rPr>
        <w:t>conduct human rights assessments of fiscal policy periodically and with broad public participation, including analysis of the distributional consequences and tax burden borne by different income sectors and disadvantaged groups</w:t>
      </w:r>
      <w:r w:rsidRPr="007930BA">
        <w:rPr>
          <w:rStyle w:val="QuoteChar"/>
          <w:sz w:val="26"/>
          <w:szCs w:val="26"/>
        </w:rPr>
        <w:t>”.</w:t>
      </w:r>
      <w:r w:rsidRPr="007930BA">
        <w:rPr>
          <w:rStyle w:val="FootnoteReference"/>
          <w:i w:val="0"/>
          <w:sz w:val="26"/>
          <w:szCs w:val="26"/>
        </w:rPr>
        <w:footnoteReference w:id="3"/>
      </w:r>
    </w:p>
    <w:p w14:paraId="6D72CDD5" w14:textId="77777777" w:rsidR="006E76E4" w:rsidRPr="007930BA" w:rsidRDefault="006E76E4" w:rsidP="006E76E4">
      <w:pPr>
        <w:ind w:left="-426"/>
        <w:rPr>
          <w:sz w:val="26"/>
          <w:szCs w:val="26"/>
          <w:lang w:val="en-US"/>
        </w:rPr>
      </w:pPr>
      <w:r w:rsidRPr="007930BA">
        <w:rPr>
          <w:sz w:val="26"/>
          <w:szCs w:val="26"/>
          <w:lang w:val="en-US"/>
        </w:rPr>
        <w:t xml:space="preserve">In January 2019, Juan Pablo Bohoslavsky, the Independent Expert on foreign debt and human rights </w:t>
      </w:r>
      <w:r w:rsidRPr="007930BA">
        <w:rPr>
          <w:sz w:val="26"/>
          <w:szCs w:val="26"/>
        </w:rPr>
        <w:t xml:space="preserve">issued new </w:t>
      </w:r>
      <w:hyperlink r:id="rId9" w:history="1">
        <w:r w:rsidRPr="007930BA">
          <w:rPr>
            <w:rStyle w:val="Hyperlink"/>
            <w:sz w:val="26"/>
            <w:szCs w:val="26"/>
            <w:lang w:val="en-US"/>
          </w:rPr>
          <w:t>Guiding Principles on Human Rights Impact Assessments of Economic Reforms</w:t>
        </w:r>
      </w:hyperlink>
      <w:r w:rsidRPr="007930BA">
        <w:rPr>
          <w:sz w:val="26"/>
          <w:szCs w:val="26"/>
          <w:lang w:val="en-US"/>
        </w:rPr>
        <w:t>.</w:t>
      </w:r>
      <w:r w:rsidRPr="007930BA">
        <w:rPr>
          <w:rStyle w:val="FootnoteReference"/>
          <w:sz w:val="26"/>
          <w:szCs w:val="26"/>
          <w:lang w:val="en-US"/>
        </w:rPr>
        <w:footnoteReference w:id="4"/>
      </w:r>
      <w:r w:rsidRPr="007930BA">
        <w:rPr>
          <w:sz w:val="26"/>
          <w:szCs w:val="26"/>
          <w:lang w:val="en-US"/>
        </w:rPr>
        <w:t xml:space="preserve">  Within the guidance he highlights that human rights need to be a central factor of good policymaking if economic reforms are to </w:t>
      </w:r>
      <w:r w:rsidRPr="007930BA">
        <w:rPr>
          <w:i/>
          <w:sz w:val="26"/>
          <w:szCs w:val="26"/>
          <w:lang w:val="en-US"/>
        </w:rPr>
        <w:t>“help advance societies, rather than hinder people’s lives”.</w:t>
      </w:r>
      <w:r w:rsidRPr="007930BA">
        <w:rPr>
          <w:sz w:val="26"/>
          <w:szCs w:val="26"/>
          <w:lang w:val="en-US"/>
        </w:rPr>
        <w:t xml:space="preserve">  </w:t>
      </w:r>
    </w:p>
    <w:p w14:paraId="684F51B2" w14:textId="77777777" w:rsidR="006E76E4" w:rsidRPr="007930BA" w:rsidRDefault="006E76E4" w:rsidP="006E76E4">
      <w:pPr>
        <w:ind w:left="-426"/>
        <w:rPr>
          <w:sz w:val="26"/>
          <w:szCs w:val="26"/>
          <w:lang w:val="en-US"/>
        </w:rPr>
      </w:pPr>
    </w:p>
    <w:p w14:paraId="45FE1A77" w14:textId="6E529F13" w:rsidR="006E76E4" w:rsidRPr="007930BA" w:rsidRDefault="006E76E4" w:rsidP="006E76E4">
      <w:pPr>
        <w:ind w:left="-426"/>
        <w:rPr>
          <w:sz w:val="26"/>
          <w:szCs w:val="26"/>
          <w:lang w:val="en-US"/>
        </w:rPr>
      </w:pPr>
      <w:r w:rsidRPr="007930BA">
        <w:rPr>
          <w:sz w:val="26"/>
          <w:szCs w:val="26"/>
          <w:lang w:val="en-US"/>
        </w:rPr>
        <w:t>He goes on to talk about the role of a State’s human rights obligations in economic policymaking as obligations that States simply cannot ignore.  These decisions have consequences and those consequences must be identified before not after a policy has been implemented:</w:t>
      </w:r>
    </w:p>
    <w:p w14:paraId="404A2A49" w14:textId="77777777" w:rsidR="006E76E4" w:rsidRPr="007930BA" w:rsidRDefault="006E76E4" w:rsidP="006E76E4">
      <w:pPr>
        <w:ind w:left="-426"/>
        <w:rPr>
          <w:sz w:val="26"/>
          <w:szCs w:val="26"/>
          <w:lang w:val="en-US"/>
        </w:rPr>
      </w:pPr>
    </w:p>
    <w:p w14:paraId="7845114D" w14:textId="77777777" w:rsidR="006E76E4" w:rsidRPr="007930BA" w:rsidRDefault="006E76E4" w:rsidP="0041357D">
      <w:pPr>
        <w:ind w:right="521"/>
        <w:jc w:val="both"/>
        <w:rPr>
          <w:i/>
          <w:sz w:val="26"/>
          <w:szCs w:val="26"/>
          <w:lang w:val="en-US"/>
        </w:rPr>
      </w:pPr>
      <w:r w:rsidRPr="007930BA">
        <w:rPr>
          <w:i/>
          <w:sz w:val="26"/>
          <w:szCs w:val="26"/>
          <w:lang w:val="en-US"/>
        </w:rPr>
        <w:t xml:space="preserve">"Any economic policy measures – whether fiscal austerity, structural adjustment reforms, privatisation of public services, deregulation of financial and labour markets, or changes in taxation – all have human rights consequences…  Governments at all levels - including local and subnational governments - must properly take into account their human rights obligations when designing and </w:t>
      </w:r>
      <w:r w:rsidRPr="007930BA">
        <w:rPr>
          <w:i/>
          <w:sz w:val="26"/>
          <w:szCs w:val="26"/>
          <w:lang w:val="en-US"/>
        </w:rPr>
        <w:lastRenderedPageBreak/>
        <w:t>formulating economic reforms. Human rights impact assessments are key to this process… such assessments should pay particular attention to potential and cumulative impacts of economic measures on specific individuals and groups, such as women and persons with disabilities.”</w:t>
      </w:r>
      <w:r w:rsidRPr="007930BA">
        <w:rPr>
          <w:rStyle w:val="FootnoteReference"/>
          <w:i/>
          <w:sz w:val="26"/>
          <w:szCs w:val="26"/>
          <w:lang w:val="en-US"/>
        </w:rPr>
        <w:footnoteReference w:id="5"/>
      </w:r>
    </w:p>
    <w:p w14:paraId="0CB5AE90" w14:textId="77777777" w:rsidR="006E76E4" w:rsidRPr="007930BA" w:rsidRDefault="006E76E4" w:rsidP="006E76E4">
      <w:pPr>
        <w:ind w:left="720"/>
        <w:rPr>
          <w:i/>
          <w:sz w:val="26"/>
          <w:szCs w:val="26"/>
          <w:lang w:val="en-US"/>
        </w:rPr>
      </w:pPr>
    </w:p>
    <w:p w14:paraId="30F679E5" w14:textId="2E0024FA" w:rsidR="006E76E4" w:rsidRPr="007930BA" w:rsidRDefault="006E76E4" w:rsidP="0041357D">
      <w:pPr>
        <w:ind w:left="-426"/>
        <w:rPr>
          <w:sz w:val="26"/>
          <w:szCs w:val="26"/>
        </w:rPr>
      </w:pPr>
      <w:r w:rsidRPr="007930BA">
        <w:rPr>
          <w:sz w:val="26"/>
          <w:szCs w:val="26"/>
        </w:rPr>
        <w:t xml:space="preserve">Human rights impact assessments are not widely used, however, they should be standard practice in the preparation of budgets. Such assessments enable fair and transparent decision making and provide a practical method to support governments to avoid disproportionately affecting some groups more than others with their policy and budgetary decisions. </w:t>
      </w:r>
    </w:p>
    <w:p w14:paraId="7AAF06C7" w14:textId="77777777" w:rsidR="006E76E4" w:rsidRPr="007930BA" w:rsidRDefault="006E76E4" w:rsidP="0041357D">
      <w:pPr>
        <w:ind w:left="-426"/>
        <w:rPr>
          <w:sz w:val="26"/>
          <w:szCs w:val="26"/>
        </w:rPr>
      </w:pPr>
    </w:p>
    <w:p w14:paraId="27A3F02A" w14:textId="77777777" w:rsidR="006E76E4" w:rsidRPr="007930BA" w:rsidRDefault="006E76E4" w:rsidP="0041357D">
      <w:pPr>
        <w:ind w:left="-426"/>
        <w:rPr>
          <w:sz w:val="26"/>
          <w:szCs w:val="26"/>
        </w:rPr>
      </w:pPr>
      <w:r w:rsidRPr="007930BA">
        <w:rPr>
          <w:sz w:val="26"/>
          <w:szCs w:val="26"/>
        </w:rPr>
        <w:t xml:space="preserve">Good practice has been developed on Equality and Human Rights Impact Assessments (EQHRIAs) by the </w:t>
      </w:r>
      <w:hyperlink r:id="rId10" w:history="1">
        <w:r w:rsidRPr="007930BA">
          <w:rPr>
            <w:rStyle w:val="Hyperlink"/>
            <w:sz w:val="26"/>
            <w:szCs w:val="26"/>
          </w:rPr>
          <w:t>Scottish Human Rights Commission (SHRC)</w:t>
        </w:r>
      </w:hyperlink>
      <w:r w:rsidRPr="007930BA">
        <w:rPr>
          <w:rStyle w:val="FootnoteReference"/>
          <w:sz w:val="26"/>
          <w:szCs w:val="26"/>
          <w:u w:val="single"/>
        </w:rPr>
        <w:footnoteReference w:id="6"/>
      </w:r>
      <w:r w:rsidRPr="007930BA">
        <w:rPr>
          <w:sz w:val="26"/>
          <w:szCs w:val="26"/>
        </w:rPr>
        <w:t xml:space="preserve"> and </w:t>
      </w:r>
      <w:hyperlink r:id="rId11" w:history="1">
        <w:r w:rsidRPr="007930BA">
          <w:rPr>
            <w:rStyle w:val="Hyperlink"/>
            <w:sz w:val="26"/>
            <w:szCs w:val="26"/>
          </w:rPr>
          <w:t>Equality and Human Rights Commission (EHRC)</w:t>
        </w:r>
      </w:hyperlink>
      <w:r w:rsidRPr="007930BA">
        <w:rPr>
          <w:rStyle w:val="FootnoteReference"/>
          <w:sz w:val="26"/>
          <w:szCs w:val="26"/>
          <w:u w:val="single"/>
        </w:rPr>
        <w:footnoteReference w:id="7"/>
      </w:r>
      <w:r w:rsidRPr="007930BA">
        <w:rPr>
          <w:sz w:val="26"/>
          <w:szCs w:val="26"/>
        </w:rPr>
        <w:t xml:space="preserve"> – with a dedicated website which sets out:</w:t>
      </w:r>
    </w:p>
    <w:p w14:paraId="57413613" w14:textId="77777777" w:rsidR="006E76E4" w:rsidRPr="007930BA" w:rsidRDefault="006E76E4" w:rsidP="006E76E4">
      <w:pPr>
        <w:pStyle w:val="ListParagraph"/>
        <w:numPr>
          <w:ilvl w:val="0"/>
          <w:numId w:val="26"/>
        </w:numPr>
        <w:autoSpaceDE/>
        <w:autoSpaceDN/>
        <w:adjustRightInd/>
        <w:rPr>
          <w:sz w:val="26"/>
          <w:szCs w:val="26"/>
        </w:rPr>
      </w:pPr>
      <w:r w:rsidRPr="007930BA">
        <w:rPr>
          <w:sz w:val="26"/>
          <w:szCs w:val="26"/>
        </w:rPr>
        <w:t xml:space="preserve">An explanation of the </w:t>
      </w:r>
      <w:hyperlink r:id="rId12" w:history="1">
        <w:r w:rsidRPr="007930BA">
          <w:rPr>
            <w:rStyle w:val="Hyperlink"/>
            <w:sz w:val="26"/>
            <w:szCs w:val="26"/>
          </w:rPr>
          <w:t>added value of the human rights dimension.</w:t>
        </w:r>
      </w:hyperlink>
      <w:r w:rsidRPr="007930BA">
        <w:rPr>
          <w:rStyle w:val="FootnoteReference"/>
          <w:sz w:val="26"/>
          <w:szCs w:val="26"/>
          <w:u w:val="single"/>
        </w:rPr>
        <w:footnoteReference w:id="8"/>
      </w:r>
    </w:p>
    <w:p w14:paraId="7BC4674B" w14:textId="77777777" w:rsidR="006E76E4" w:rsidRPr="007930BA" w:rsidRDefault="006E76E4" w:rsidP="006E76E4">
      <w:pPr>
        <w:pStyle w:val="ListParagraph"/>
        <w:numPr>
          <w:ilvl w:val="0"/>
          <w:numId w:val="26"/>
        </w:numPr>
        <w:autoSpaceDE/>
        <w:autoSpaceDN/>
        <w:adjustRightInd/>
        <w:rPr>
          <w:sz w:val="26"/>
          <w:szCs w:val="26"/>
        </w:rPr>
      </w:pPr>
      <w:r w:rsidRPr="007930BA">
        <w:rPr>
          <w:sz w:val="26"/>
          <w:szCs w:val="26"/>
        </w:rPr>
        <w:t xml:space="preserve">The </w:t>
      </w:r>
      <w:hyperlink r:id="rId13" w:history="1">
        <w:r w:rsidRPr="007930BA">
          <w:rPr>
            <w:rStyle w:val="Hyperlink"/>
            <w:sz w:val="26"/>
            <w:szCs w:val="26"/>
          </w:rPr>
          <w:t>10 Good Practice Building Blocks for Assessing Impact.</w:t>
        </w:r>
      </w:hyperlink>
      <w:r w:rsidRPr="007930BA">
        <w:rPr>
          <w:rStyle w:val="FootnoteReference"/>
          <w:sz w:val="26"/>
          <w:szCs w:val="26"/>
          <w:u w:val="single"/>
        </w:rPr>
        <w:footnoteReference w:id="9"/>
      </w:r>
    </w:p>
    <w:p w14:paraId="38BB93C5" w14:textId="77777777" w:rsidR="006E76E4" w:rsidRPr="007930BA" w:rsidRDefault="006E76E4" w:rsidP="006E76E4">
      <w:pPr>
        <w:pStyle w:val="ListParagraph"/>
        <w:numPr>
          <w:ilvl w:val="0"/>
          <w:numId w:val="26"/>
        </w:numPr>
        <w:autoSpaceDE/>
        <w:autoSpaceDN/>
        <w:adjustRightInd/>
        <w:rPr>
          <w:sz w:val="26"/>
          <w:szCs w:val="26"/>
        </w:rPr>
      </w:pPr>
      <w:r w:rsidRPr="007930BA">
        <w:rPr>
          <w:sz w:val="26"/>
          <w:szCs w:val="26"/>
        </w:rPr>
        <w:t xml:space="preserve">Information about </w:t>
      </w:r>
      <w:hyperlink r:id="rId14" w:history="1">
        <w:r w:rsidRPr="007930BA">
          <w:rPr>
            <w:rStyle w:val="Hyperlink"/>
            <w:sz w:val="26"/>
            <w:szCs w:val="26"/>
          </w:rPr>
          <w:t>two pilot EQHRIAs in Renfrewshire and Fife Councils.</w:t>
        </w:r>
      </w:hyperlink>
      <w:r w:rsidRPr="007930BA">
        <w:rPr>
          <w:rStyle w:val="FootnoteReference"/>
          <w:sz w:val="26"/>
          <w:szCs w:val="26"/>
          <w:u w:val="single"/>
        </w:rPr>
        <w:footnoteReference w:id="10"/>
      </w:r>
    </w:p>
    <w:p w14:paraId="0F20B939" w14:textId="77777777" w:rsidR="006E76E4" w:rsidRPr="007930BA" w:rsidRDefault="006009AF" w:rsidP="006E76E4">
      <w:pPr>
        <w:pStyle w:val="ListParagraph"/>
        <w:numPr>
          <w:ilvl w:val="0"/>
          <w:numId w:val="26"/>
        </w:numPr>
        <w:autoSpaceDE/>
        <w:autoSpaceDN/>
        <w:adjustRightInd/>
        <w:rPr>
          <w:sz w:val="26"/>
          <w:szCs w:val="26"/>
        </w:rPr>
      </w:pPr>
      <w:hyperlink r:id="rId15" w:history="1">
        <w:r w:rsidR="006E76E4" w:rsidRPr="007930BA">
          <w:rPr>
            <w:rStyle w:val="Hyperlink"/>
            <w:sz w:val="26"/>
            <w:szCs w:val="26"/>
          </w:rPr>
          <w:t>Basic background training materials.</w:t>
        </w:r>
        <w:r w:rsidR="006E76E4" w:rsidRPr="007930BA">
          <w:rPr>
            <w:rStyle w:val="FootnoteReference"/>
            <w:sz w:val="26"/>
            <w:szCs w:val="26"/>
            <w:u w:val="single"/>
          </w:rPr>
          <w:footnoteReference w:id="11"/>
        </w:r>
        <w:r w:rsidR="006E76E4" w:rsidRPr="007930BA">
          <w:rPr>
            <w:rStyle w:val="Hyperlink"/>
            <w:sz w:val="26"/>
            <w:szCs w:val="26"/>
          </w:rPr>
          <w:t xml:space="preserve"> </w:t>
        </w:r>
      </w:hyperlink>
    </w:p>
    <w:p w14:paraId="756E6C36" w14:textId="77777777" w:rsidR="006E76E4" w:rsidRPr="007930BA" w:rsidRDefault="006009AF" w:rsidP="006E76E4">
      <w:pPr>
        <w:pStyle w:val="ListParagraph"/>
        <w:numPr>
          <w:ilvl w:val="0"/>
          <w:numId w:val="26"/>
        </w:numPr>
        <w:autoSpaceDE/>
        <w:autoSpaceDN/>
        <w:adjustRightInd/>
        <w:rPr>
          <w:sz w:val="26"/>
          <w:szCs w:val="26"/>
        </w:rPr>
      </w:pPr>
      <w:hyperlink r:id="rId16" w:history="1">
        <w:r w:rsidR="006E76E4" w:rsidRPr="007930BA">
          <w:rPr>
            <w:rStyle w:val="Hyperlink"/>
            <w:sz w:val="26"/>
            <w:szCs w:val="26"/>
          </w:rPr>
          <w:t>Links to other resources.</w:t>
        </w:r>
        <w:r w:rsidR="006E76E4" w:rsidRPr="007930BA">
          <w:rPr>
            <w:rStyle w:val="FootnoteReference"/>
            <w:sz w:val="26"/>
            <w:szCs w:val="26"/>
            <w:u w:val="single"/>
          </w:rPr>
          <w:footnoteReference w:id="12"/>
        </w:r>
        <w:r w:rsidR="006E76E4" w:rsidRPr="007930BA">
          <w:rPr>
            <w:rStyle w:val="Hyperlink"/>
            <w:sz w:val="26"/>
            <w:szCs w:val="26"/>
          </w:rPr>
          <w:t xml:space="preserve"> </w:t>
        </w:r>
      </w:hyperlink>
    </w:p>
    <w:p w14:paraId="323A6FED" w14:textId="77777777" w:rsidR="006E76E4" w:rsidRPr="007930BA" w:rsidRDefault="006E76E4">
      <w:pPr>
        <w:autoSpaceDE/>
        <w:autoSpaceDN/>
        <w:adjustRightInd/>
        <w:rPr>
          <w:sz w:val="26"/>
          <w:szCs w:val="26"/>
          <w:u w:val="single"/>
        </w:rPr>
      </w:pPr>
    </w:p>
    <w:p w14:paraId="6468CF47" w14:textId="74106517" w:rsidR="0041357D" w:rsidRDefault="0041357D" w:rsidP="006E76E4">
      <w:pPr>
        <w:ind w:left="-426" w:right="-188"/>
        <w:rPr>
          <w:b/>
          <w:sz w:val="26"/>
          <w:szCs w:val="26"/>
          <w:u w:val="single"/>
        </w:rPr>
      </w:pPr>
      <w:r w:rsidRPr="007930BA">
        <w:rPr>
          <w:b/>
          <w:sz w:val="26"/>
          <w:szCs w:val="26"/>
          <w:u w:val="single"/>
        </w:rPr>
        <w:t>Final remarks</w:t>
      </w:r>
    </w:p>
    <w:p w14:paraId="3403285B" w14:textId="77777777" w:rsidR="00433B3E" w:rsidRPr="007930BA" w:rsidRDefault="00433B3E" w:rsidP="006E76E4">
      <w:pPr>
        <w:ind w:left="-426" w:right="-188"/>
        <w:rPr>
          <w:b/>
          <w:sz w:val="26"/>
          <w:szCs w:val="26"/>
          <w:u w:val="single"/>
        </w:rPr>
      </w:pPr>
    </w:p>
    <w:p w14:paraId="125E48C0" w14:textId="7BCC370C" w:rsidR="006E76E4" w:rsidRPr="007930BA" w:rsidRDefault="006E76E4" w:rsidP="006E76E4">
      <w:pPr>
        <w:ind w:left="-426" w:right="-188"/>
        <w:rPr>
          <w:sz w:val="26"/>
          <w:szCs w:val="26"/>
        </w:rPr>
      </w:pPr>
      <w:r w:rsidRPr="007930BA">
        <w:rPr>
          <w:sz w:val="26"/>
          <w:szCs w:val="26"/>
        </w:rPr>
        <w:t xml:space="preserve">At present the Scottish government does not take a human rights based approach to its budgeting or its more general policy development processes and the budget is not routinely scrutinised through a rights lens.  Developing such processes will help future administrations to progressively realise human rights.  </w:t>
      </w:r>
    </w:p>
    <w:p w14:paraId="46199683" w14:textId="77777777" w:rsidR="006E76E4" w:rsidRPr="007930BA" w:rsidRDefault="006E76E4" w:rsidP="006E76E4">
      <w:pPr>
        <w:ind w:left="-426" w:right="-188"/>
        <w:rPr>
          <w:sz w:val="26"/>
          <w:szCs w:val="26"/>
        </w:rPr>
      </w:pPr>
    </w:p>
    <w:p w14:paraId="5EAFF23C" w14:textId="662E8C32" w:rsidR="006E76E4" w:rsidRPr="007930BA" w:rsidRDefault="006E76E4" w:rsidP="006E76E4">
      <w:pPr>
        <w:ind w:left="-426" w:right="-188"/>
        <w:rPr>
          <w:sz w:val="26"/>
          <w:szCs w:val="26"/>
        </w:rPr>
      </w:pPr>
      <w:r w:rsidRPr="007930BA">
        <w:rPr>
          <w:sz w:val="26"/>
          <w:szCs w:val="26"/>
        </w:rPr>
        <w:t>Good rights based laws and po</w:t>
      </w:r>
      <w:r w:rsidRPr="007930BA">
        <w:rPr>
          <w:rFonts w:eastAsiaTheme="minorEastAsia"/>
          <w:sz w:val="26"/>
          <w:szCs w:val="26"/>
        </w:rPr>
        <w:t xml:space="preserve">licies can also still result in unacceptable experiences of rights holders if they are not properly resourced. Human rights budget work can help identify where this is the case.  </w:t>
      </w:r>
      <w:r w:rsidRPr="007930BA">
        <w:rPr>
          <w:sz w:val="26"/>
          <w:szCs w:val="26"/>
        </w:rPr>
        <w:t xml:space="preserve">Taking human rights standards into account when developing the budget is not a magic bullet. It can, however, help us to ask the right questions to support effective, transparent, fair and accountable use of national resources.  </w:t>
      </w:r>
    </w:p>
    <w:p w14:paraId="34C115FE" w14:textId="77777777" w:rsidR="0029366B" w:rsidRPr="007930BA" w:rsidRDefault="0029366B" w:rsidP="00BD18F7">
      <w:pPr>
        <w:ind w:left="-426"/>
        <w:rPr>
          <w:sz w:val="26"/>
          <w:szCs w:val="26"/>
        </w:rPr>
      </w:pPr>
    </w:p>
    <w:p w14:paraId="42EC2F63" w14:textId="77777777" w:rsidR="00410518" w:rsidRDefault="00410518">
      <w:pPr>
        <w:autoSpaceDE/>
        <w:autoSpaceDN/>
        <w:adjustRightInd/>
        <w:rPr>
          <w:b/>
          <w:sz w:val="28"/>
          <w:szCs w:val="28"/>
        </w:rPr>
      </w:pPr>
      <w:bookmarkStart w:id="1" w:name="_MailAutoSig"/>
      <w:r>
        <w:rPr>
          <w:b/>
          <w:sz w:val="28"/>
          <w:szCs w:val="28"/>
        </w:rPr>
        <w:br w:type="page"/>
      </w:r>
    </w:p>
    <w:p w14:paraId="4C369069" w14:textId="48D2329B" w:rsidR="007930BA" w:rsidRPr="00382DC5" w:rsidRDefault="007930BA" w:rsidP="00382DC5">
      <w:pPr>
        <w:autoSpaceDE/>
        <w:autoSpaceDN/>
        <w:adjustRightInd/>
        <w:ind w:left="-567"/>
        <w:rPr>
          <w:b/>
          <w:bCs/>
          <w:sz w:val="28"/>
          <w:szCs w:val="28"/>
        </w:rPr>
      </w:pPr>
      <w:r w:rsidRPr="00382DC5">
        <w:rPr>
          <w:b/>
          <w:sz w:val="28"/>
          <w:szCs w:val="28"/>
        </w:rPr>
        <w:lastRenderedPageBreak/>
        <w:t>Appendix 1: Human Rights Framework and UN Treaty Body Conclusions and Recommendations relevant to the areas of Justice Committee Pre-Budget Scrutiny</w:t>
      </w:r>
    </w:p>
    <w:p w14:paraId="71633C83" w14:textId="77777777" w:rsidR="002D48C4" w:rsidRPr="00D13CE5" w:rsidRDefault="002D48C4" w:rsidP="00D13CE5">
      <w:pPr>
        <w:rPr>
          <w:b/>
        </w:rPr>
      </w:pPr>
    </w:p>
    <w:p w14:paraId="2321E402" w14:textId="0AE13A09" w:rsidR="00012E31" w:rsidRDefault="00012E31" w:rsidP="007930BA">
      <w:pPr>
        <w:ind w:left="-567" w:right="-755"/>
        <w:rPr>
          <w:sz w:val="26"/>
          <w:szCs w:val="26"/>
        </w:rPr>
      </w:pPr>
      <w:r>
        <w:rPr>
          <w:sz w:val="26"/>
          <w:szCs w:val="26"/>
        </w:rPr>
        <w:t xml:space="preserve">This appendix sets out the </w:t>
      </w:r>
      <w:r w:rsidRPr="007930BA">
        <w:rPr>
          <w:sz w:val="26"/>
          <w:szCs w:val="26"/>
        </w:rPr>
        <w:t>human rights framework obligations and recent UN Treaty Body conclusions and recommendations</w:t>
      </w:r>
      <w:r>
        <w:rPr>
          <w:sz w:val="26"/>
          <w:szCs w:val="26"/>
        </w:rPr>
        <w:t xml:space="preserve"> most relevant to the focus of the Justice Committee’s pre-budget scrutiny.  This includes relevant general recommendations, </w:t>
      </w:r>
      <w:r w:rsidR="00410518">
        <w:rPr>
          <w:sz w:val="26"/>
          <w:szCs w:val="26"/>
        </w:rPr>
        <w:t xml:space="preserve">and </w:t>
      </w:r>
      <w:r>
        <w:rPr>
          <w:sz w:val="26"/>
          <w:szCs w:val="26"/>
        </w:rPr>
        <w:t>those related to the themes of Health and Justice &amp; Safety.  These should be given consideration when developing budget allocation recommendations.</w:t>
      </w:r>
    </w:p>
    <w:p w14:paraId="7DB66D23" w14:textId="77777777" w:rsidR="00012E31" w:rsidRPr="00012E31" w:rsidRDefault="00012E31" w:rsidP="007930BA">
      <w:pPr>
        <w:ind w:left="-567" w:right="-755"/>
        <w:rPr>
          <w:sz w:val="26"/>
          <w:szCs w:val="26"/>
        </w:rPr>
      </w:pPr>
    </w:p>
    <w:p w14:paraId="4C8B40A5" w14:textId="4EF9E92D" w:rsidR="007930BA" w:rsidRPr="00D13CE5" w:rsidRDefault="00012E31" w:rsidP="007930BA">
      <w:pPr>
        <w:ind w:left="-567" w:right="-755"/>
        <w:rPr>
          <w:b/>
          <w:sz w:val="26"/>
          <w:szCs w:val="26"/>
        </w:rPr>
      </w:pPr>
      <w:r>
        <w:rPr>
          <w:b/>
          <w:sz w:val="26"/>
          <w:szCs w:val="26"/>
        </w:rPr>
        <w:t>1. General recommendations made regarding e</w:t>
      </w:r>
      <w:r w:rsidR="007930BA" w:rsidRPr="00D13CE5">
        <w:rPr>
          <w:b/>
          <w:sz w:val="26"/>
          <w:szCs w:val="26"/>
        </w:rPr>
        <w:t>nhancing the ability of public, private and voluntary bodies to put human rights in practice is key to the delivery of all human rights.</w:t>
      </w:r>
    </w:p>
    <w:p w14:paraId="153BD582" w14:textId="77777777" w:rsidR="007930BA" w:rsidRPr="007930BA" w:rsidRDefault="007930BA" w:rsidP="007930BA">
      <w:pPr>
        <w:pStyle w:val="Body1"/>
        <w:ind w:left="-567" w:right="-755"/>
        <w:rPr>
          <w:rFonts w:asciiTheme="minorHAnsi" w:hAnsiTheme="minorHAnsi" w:cstheme="minorHAnsi"/>
          <w:sz w:val="26"/>
          <w:szCs w:val="26"/>
        </w:rPr>
      </w:pPr>
    </w:p>
    <w:p w14:paraId="7FB40063" w14:textId="13833692" w:rsidR="007930BA" w:rsidRPr="007930BA" w:rsidRDefault="007930BA" w:rsidP="007930BA">
      <w:pPr>
        <w:pStyle w:val="Body1"/>
        <w:ind w:left="-567" w:right="-755"/>
        <w:rPr>
          <w:rFonts w:asciiTheme="minorHAnsi" w:hAnsiTheme="minorHAnsi" w:cstheme="minorHAnsi"/>
          <w:sz w:val="26"/>
          <w:szCs w:val="26"/>
        </w:rPr>
      </w:pPr>
      <w:r w:rsidRPr="00D13CE5">
        <w:rPr>
          <w:rFonts w:asciiTheme="minorHAnsi" w:hAnsiTheme="minorHAnsi" w:cstheme="minorHAnsi"/>
          <w:sz w:val="26"/>
          <w:szCs w:val="26"/>
        </w:rPr>
        <w:t xml:space="preserve">Among other relevant recommendations, international human rights bodies have called on the UK: </w:t>
      </w:r>
    </w:p>
    <w:p w14:paraId="377FD32C" w14:textId="77777777" w:rsidR="007930BA" w:rsidRPr="007930BA" w:rsidRDefault="007930BA" w:rsidP="00D13CE5">
      <w:pPr>
        <w:pStyle w:val="Body1"/>
        <w:numPr>
          <w:ilvl w:val="0"/>
          <w:numId w:val="31"/>
        </w:numPr>
        <w:ind w:right="-755"/>
        <w:rPr>
          <w:rFonts w:asciiTheme="minorHAnsi" w:hAnsiTheme="minorHAnsi" w:cstheme="minorHAnsi"/>
          <w:sz w:val="26"/>
          <w:szCs w:val="26"/>
        </w:rPr>
      </w:pPr>
      <w:r w:rsidRPr="007930BA">
        <w:rPr>
          <w:rFonts w:asciiTheme="minorHAnsi" w:hAnsiTheme="minorHAnsi" w:cstheme="minorHAnsi"/>
          <w:b/>
          <w:i/>
          <w:sz w:val="26"/>
          <w:szCs w:val="26"/>
        </w:rPr>
        <w:t>Prioritisation and policy making</w:t>
      </w:r>
      <w:r w:rsidRPr="007930BA">
        <w:rPr>
          <w:rFonts w:asciiTheme="minorHAnsi" w:hAnsiTheme="minorHAnsi" w:cstheme="minorHAnsi"/>
          <w:i/>
          <w:sz w:val="26"/>
          <w:szCs w:val="26"/>
        </w:rPr>
        <w:t>:</w:t>
      </w:r>
      <w:r w:rsidRPr="007930BA">
        <w:rPr>
          <w:rFonts w:asciiTheme="minorHAnsi" w:hAnsiTheme="minorHAnsi" w:cstheme="minorHAnsi"/>
          <w:sz w:val="26"/>
          <w:szCs w:val="26"/>
        </w:rPr>
        <w:t xml:space="preserve"> Introduce human rights based impact assessment and budget analysis (CEDAW 2009; CERD 2011, 2016; CESCR 2009, 2016; CRC 2008, 2016; UPR 2017).</w:t>
      </w:r>
    </w:p>
    <w:p w14:paraId="3DD5068B" w14:textId="77777777" w:rsidR="007930BA" w:rsidRPr="007930BA" w:rsidRDefault="007930BA" w:rsidP="007930BA">
      <w:pPr>
        <w:pStyle w:val="Body1"/>
        <w:ind w:left="-567" w:right="-755"/>
        <w:rPr>
          <w:rFonts w:asciiTheme="minorHAnsi" w:hAnsiTheme="minorHAnsi" w:cstheme="minorHAnsi"/>
          <w:sz w:val="26"/>
          <w:szCs w:val="26"/>
        </w:rPr>
      </w:pPr>
    </w:p>
    <w:p w14:paraId="3068C7E2" w14:textId="77777777" w:rsidR="007930BA" w:rsidRPr="007930BA" w:rsidRDefault="007930BA" w:rsidP="00D13CE5">
      <w:pPr>
        <w:pStyle w:val="Body1"/>
        <w:numPr>
          <w:ilvl w:val="0"/>
          <w:numId w:val="31"/>
        </w:numPr>
        <w:ind w:right="-755"/>
        <w:rPr>
          <w:rFonts w:asciiTheme="minorHAnsi" w:hAnsiTheme="minorHAnsi" w:cstheme="minorHAnsi"/>
          <w:sz w:val="26"/>
          <w:szCs w:val="26"/>
        </w:rPr>
      </w:pPr>
      <w:r w:rsidRPr="007930BA">
        <w:rPr>
          <w:rFonts w:asciiTheme="minorHAnsi" w:hAnsiTheme="minorHAnsi" w:cstheme="minorHAnsi"/>
          <w:b/>
          <w:i/>
          <w:sz w:val="26"/>
          <w:szCs w:val="26"/>
        </w:rPr>
        <w:t>Human rights based approach</w:t>
      </w:r>
      <w:r w:rsidRPr="007930BA">
        <w:rPr>
          <w:rFonts w:asciiTheme="minorHAnsi" w:hAnsiTheme="minorHAnsi" w:cstheme="minorHAnsi"/>
          <w:i/>
          <w:sz w:val="26"/>
          <w:szCs w:val="26"/>
        </w:rPr>
        <w:t>:</w:t>
      </w:r>
      <w:r w:rsidRPr="007930BA">
        <w:rPr>
          <w:rFonts w:asciiTheme="minorHAnsi" w:hAnsiTheme="minorHAnsi" w:cstheme="minorHAnsi"/>
          <w:sz w:val="26"/>
          <w:szCs w:val="26"/>
        </w:rPr>
        <w:t xml:space="preserve"> Adoption of a human rights based approach to (aspects of) public service (CESCR 2016; CRC 2000, 2002, 2008, 2016).</w:t>
      </w:r>
    </w:p>
    <w:p w14:paraId="3EC8E438" w14:textId="77777777" w:rsidR="007930BA" w:rsidRPr="007930BA" w:rsidRDefault="007930BA" w:rsidP="007930BA">
      <w:pPr>
        <w:pStyle w:val="Body1"/>
        <w:ind w:left="-567" w:right="-755"/>
        <w:rPr>
          <w:rFonts w:asciiTheme="minorHAnsi" w:hAnsiTheme="minorHAnsi" w:cstheme="minorHAnsi"/>
          <w:b/>
          <w:i/>
          <w:sz w:val="26"/>
          <w:szCs w:val="26"/>
        </w:rPr>
      </w:pPr>
    </w:p>
    <w:p w14:paraId="3BE81E3F" w14:textId="77777777" w:rsidR="007930BA" w:rsidRPr="007930BA" w:rsidRDefault="007930BA" w:rsidP="00D13CE5">
      <w:pPr>
        <w:pStyle w:val="Body1"/>
        <w:numPr>
          <w:ilvl w:val="0"/>
          <w:numId w:val="31"/>
        </w:numPr>
        <w:ind w:right="-755"/>
        <w:rPr>
          <w:rFonts w:asciiTheme="minorHAnsi" w:hAnsiTheme="minorHAnsi" w:cstheme="minorHAnsi"/>
          <w:sz w:val="26"/>
          <w:szCs w:val="26"/>
        </w:rPr>
      </w:pPr>
      <w:r w:rsidRPr="007930BA">
        <w:rPr>
          <w:rFonts w:asciiTheme="minorHAnsi" w:hAnsiTheme="minorHAnsi" w:cstheme="minorHAnsi"/>
          <w:b/>
          <w:i/>
          <w:sz w:val="26"/>
          <w:szCs w:val="26"/>
        </w:rPr>
        <w:t xml:space="preserve">Human rights training: </w:t>
      </w:r>
      <w:r w:rsidRPr="007930BA">
        <w:rPr>
          <w:rFonts w:asciiTheme="minorHAnsi" w:hAnsiTheme="minorHAnsi" w:cstheme="minorHAnsi"/>
          <w:sz w:val="26"/>
          <w:szCs w:val="26"/>
        </w:rPr>
        <w:t>Develop and implement human rights training programmes for prison staff (CAT 2019).</w:t>
      </w:r>
    </w:p>
    <w:p w14:paraId="52DD31EC" w14:textId="77777777" w:rsidR="007930BA" w:rsidRPr="007930BA" w:rsidRDefault="007930BA" w:rsidP="007930BA">
      <w:pPr>
        <w:pStyle w:val="Body1"/>
        <w:ind w:left="-567" w:right="-755"/>
        <w:rPr>
          <w:rFonts w:asciiTheme="minorHAnsi" w:hAnsiTheme="minorHAnsi" w:cstheme="minorHAnsi"/>
          <w:sz w:val="26"/>
          <w:szCs w:val="26"/>
        </w:rPr>
      </w:pPr>
    </w:p>
    <w:p w14:paraId="42A96069" w14:textId="08F4FB6B" w:rsidR="002D48C4" w:rsidRDefault="00012E31" w:rsidP="00012E31">
      <w:pPr>
        <w:ind w:left="-567"/>
        <w:rPr>
          <w:b/>
          <w:kern w:val="24"/>
          <w:sz w:val="26"/>
          <w:szCs w:val="26"/>
        </w:rPr>
      </w:pPr>
      <w:bookmarkStart w:id="2" w:name="_Toc359917734"/>
      <w:bookmarkStart w:id="3" w:name="_Toc359917755"/>
      <w:r>
        <w:rPr>
          <w:b/>
          <w:kern w:val="24"/>
          <w:sz w:val="26"/>
          <w:szCs w:val="26"/>
        </w:rPr>
        <w:t xml:space="preserve">2. </w:t>
      </w:r>
      <w:r w:rsidR="002D48C4" w:rsidRPr="00D13CE5">
        <w:rPr>
          <w:b/>
          <w:kern w:val="24"/>
          <w:sz w:val="26"/>
          <w:szCs w:val="26"/>
        </w:rPr>
        <w:t xml:space="preserve">Health </w:t>
      </w:r>
    </w:p>
    <w:p w14:paraId="03C22CA7" w14:textId="77777777" w:rsidR="00D13CE5" w:rsidRPr="00D13CE5" w:rsidRDefault="00D13CE5" w:rsidP="00D13CE5">
      <w:pPr>
        <w:rPr>
          <w:b/>
          <w:kern w:val="24"/>
          <w:sz w:val="26"/>
          <w:szCs w:val="26"/>
        </w:rPr>
      </w:pPr>
    </w:p>
    <w:p w14:paraId="14E2273F" w14:textId="2EE1D126" w:rsidR="00D13CE5" w:rsidRPr="007930BA" w:rsidRDefault="007930BA" w:rsidP="00410518">
      <w:pPr>
        <w:pStyle w:val="Heading3"/>
        <w:numPr>
          <w:ilvl w:val="0"/>
          <w:numId w:val="0"/>
        </w:numPr>
        <w:ind w:left="-567" w:right="-755"/>
        <w:rPr>
          <w:sz w:val="26"/>
          <w:szCs w:val="26"/>
        </w:rPr>
      </w:pPr>
      <w:r w:rsidRPr="007930BA">
        <w:rPr>
          <w:sz w:val="26"/>
          <w:szCs w:val="26"/>
        </w:rPr>
        <w:t xml:space="preserve">Human Rights Framework and international </w:t>
      </w:r>
      <w:r w:rsidR="00012E31">
        <w:rPr>
          <w:sz w:val="26"/>
          <w:szCs w:val="26"/>
        </w:rPr>
        <w:t>obligations relating</w:t>
      </w:r>
      <w:r w:rsidRPr="007930BA">
        <w:rPr>
          <w:sz w:val="26"/>
          <w:szCs w:val="26"/>
        </w:rPr>
        <w:t xml:space="preserve"> to Health</w:t>
      </w:r>
      <w:bookmarkEnd w:id="2"/>
      <w:r w:rsidR="00012E31">
        <w:rPr>
          <w:sz w:val="26"/>
          <w:szCs w:val="26"/>
        </w:rPr>
        <w:t xml:space="preserve">.  </w:t>
      </w:r>
      <w:r w:rsidR="00012E31" w:rsidRPr="007930BA">
        <w:rPr>
          <w:sz w:val="26"/>
          <w:szCs w:val="26"/>
        </w:rPr>
        <w:t>Among the internationally recognised rights engaged are</w:t>
      </w:r>
      <w:r w:rsidR="00012E31" w:rsidRPr="007930BA">
        <w:rPr>
          <w:b/>
          <w:sz w:val="26"/>
          <w:szCs w:val="26"/>
        </w:rPr>
        <w:t>:</w:t>
      </w:r>
    </w:p>
    <w:p w14:paraId="58A3827A" w14:textId="77777777" w:rsidR="007930BA" w:rsidRPr="007930BA" w:rsidRDefault="007930BA" w:rsidP="007930BA">
      <w:pPr>
        <w:pStyle w:val="Body1"/>
        <w:numPr>
          <w:ilvl w:val="0"/>
          <w:numId w:val="29"/>
        </w:numPr>
        <w:shd w:val="clear" w:color="auto" w:fill="FFFFFF"/>
        <w:ind w:right="-755"/>
        <w:rPr>
          <w:rFonts w:asciiTheme="minorHAnsi" w:hAnsiTheme="minorHAnsi" w:cstheme="minorHAnsi"/>
          <w:color w:val="222222"/>
          <w:sz w:val="26"/>
          <w:szCs w:val="26"/>
        </w:rPr>
      </w:pPr>
      <w:r w:rsidRPr="007930BA">
        <w:rPr>
          <w:rFonts w:asciiTheme="minorHAnsi" w:hAnsiTheme="minorHAnsi" w:cstheme="minorHAnsi"/>
          <w:b/>
          <w:sz w:val="26"/>
          <w:szCs w:val="26"/>
        </w:rPr>
        <w:t>The right to the highest attainable standard of physical and mental health</w:t>
      </w:r>
      <w:r w:rsidRPr="007930BA">
        <w:rPr>
          <w:rFonts w:asciiTheme="minorHAnsi" w:hAnsiTheme="minorHAnsi" w:cstheme="minorHAnsi"/>
          <w:sz w:val="26"/>
          <w:szCs w:val="26"/>
        </w:rPr>
        <w:t xml:space="preserve">, including the underlying determinants of health and available, accessible, acceptable and quality health care (article 12, ICESCR; article 11, ESC; article 25, </w:t>
      </w:r>
      <w:r w:rsidRPr="007930BA">
        <w:rPr>
          <w:rFonts w:asciiTheme="minorHAnsi" w:hAnsiTheme="minorHAnsi" w:cstheme="minorHAnsi"/>
          <w:color w:val="222222"/>
          <w:sz w:val="26"/>
          <w:szCs w:val="26"/>
        </w:rPr>
        <w:t xml:space="preserve">UDHR; UN Special Rapporteur on the Right to Health: Report on the right to mental health (2017); Report on the right to health and Agenda 2030 (2016); Report to the Human Rights Council (main focus: right to health of adolescents)(2016);  </w:t>
      </w:r>
      <w:r w:rsidRPr="007930BA">
        <w:rPr>
          <w:rFonts w:asciiTheme="minorHAnsi" w:hAnsiTheme="minorHAnsi" w:cstheme="minorHAnsi"/>
          <w:b/>
          <w:color w:val="222222"/>
          <w:sz w:val="26"/>
          <w:szCs w:val="26"/>
        </w:rPr>
        <w:t>particularly of women</w:t>
      </w:r>
      <w:r w:rsidRPr="007930BA">
        <w:rPr>
          <w:rFonts w:asciiTheme="minorHAnsi" w:hAnsiTheme="minorHAnsi" w:cstheme="minorHAnsi"/>
          <w:color w:val="222222"/>
          <w:sz w:val="26"/>
          <w:szCs w:val="26"/>
        </w:rPr>
        <w:t xml:space="preserve"> (article 12, CEDAW);  </w:t>
      </w:r>
      <w:r w:rsidRPr="007930BA">
        <w:rPr>
          <w:rFonts w:asciiTheme="minorHAnsi" w:hAnsiTheme="minorHAnsi" w:cstheme="minorHAnsi"/>
          <w:b/>
          <w:color w:val="222222"/>
          <w:sz w:val="26"/>
          <w:szCs w:val="26"/>
        </w:rPr>
        <w:t>children</w:t>
      </w:r>
      <w:r w:rsidRPr="007930BA">
        <w:rPr>
          <w:rFonts w:asciiTheme="minorHAnsi" w:hAnsiTheme="minorHAnsi" w:cstheme="minorHAnsi"/>
          <w:color w:val="222222"/>
          <w:sz w:val="26"/>
          <w:szCs w:val="26"/>
        </w:rPr>
        <w:t xml:space="preserve"> [article 24, CRC) and</w:t>
      </w:r>
      <w:r w:rsidRPr="007930BA">
        <w:rPr>
          <w:rFonts w:asciiTheme="minorHAnsi" w:hAnsiTheme="minorHAnsi" w:cstheme="minorHAnsi"/>
          <w:b/>
          <w:color w:val="222222"/>
          <w:sz w:val="26"/>
          <w:szCs w:val="26"/>
        </w:rPr>
        <w:t xml:space="preserve"> people with disabilities</w:t>
      </w:r>
      <w:r w:rsidRPr="007930BA">
        <w:rPr>
          <w:rFonts w:asciiTheme="minorHAnsi" w:hAnsiTheme="minorHAnsi" w:cstheme="minorHAnsi"/>
          <w:color w:val="222222"/>
          <w:sz w:val="26"/>
          <w:szCs w:val="26"/>
        </w:rPr>
        <w:t xml:space="preserve"> (article 25, CRPD)</w:t>
      </w:r>
    </w:p>
    <w:p w14:paraId="13D16275" w14:textId="77777777" w:rsidR="007930BA" w:rsidRPr="007930BA" w:rsidRDefault="007930BA" w:rsidP="007930BA">
      <w:pPr>
        <w:numPr>
          <w:ilvl w:val="0"/>
          <w:numId w:val="29"/>
        </w:numPr>
        <w:shd w:val="clear" w:color="auto" w:fill="FFFFFF"/>
        <w:autoSpaceDE/>
        <w:autoSpaceDN/>
        <w:adjustRightInd/>
        <w:ind w:right="-755"/>
        <w:rPr>
          <w:color w:val="222222"/>
          <w:sz w:val="26"/>
          <w:szCs w:val="26"/>
        </w:rPr>
      </w:pPr>
      <w:r w:rsidRPr="007930BA">
        <w:rPr>
          <w:b/>
          <w:color w:val="222222"/>
          <w:sz w:val="26"/>
          <w:szCs w:val="26"/>
        </w:rPr>
        <w:t>Right to life</w:t>
      </w:r>
      <w:r w:rsidRPr="007930BA">
        <w:rPr>
          <w:color w:val="222222"/>
          <w:sz w:val="26"/>
          <w:szCs w:val="26"/>
        </w:rPr>
        <w:t xml:space="preserve"> (article 3, UDHR; article6, ICCPR; article 2, ECHR/HRA; article. 11, ESC), </w:t>
      </w:r>
      <w:r w:rsidRPr="007930BA">
        <w:rPr>
          <w:b/>
          <w:color w:val="222222"/>
          <w:sz w:val="26"/>
          <w:szCs w:val="26"/>
        </w:rPr>
        <w:t>particularly of women</w:t>
      </w:r>
      <w:r w:rsidRPr="007930BA">
        <w:rPr>
          <w:color w:val="222222"/>
          <w:sz w:val="26"/>
          <w:szCs w:val="26"/>
        </w:rPr>
        <w:t xml:space="preserve"> (article 12, CEDAW) and </w:t>
      </w:r>
      <w:r w:rsidRPr="007930BA">
        <w:rPr>
          <w:b/>
          <w:color w:val="222222"/>
          <w:sz w:val="26"/>
          <w:szCs w:val="26"/>
        </w:rPr>
        <w:t>children</w:t>
      </w:r>
      <w:r w:rsidRPr="007930BA">
        <w:rPr>
          <w:color w:val="222222"/>
          <w:sz w:val="26"/>
          <w:szCs w:val="26"/>
        </w:rPr>
        <w:t xml:space="preserve"> (article 6, CRC) and </w:t>
      </w:r>
      <w:r w:rsidRPr="007930BA">
        <w:rPr>
          <w:b/>
          <w:color w:val="222222"/>
          <w:sz w:val="26"/>
          <w:szCs w:val="26"/>
        </w:rPr>
        <w:t xml:space="preserve">people with disabilities </w:t>
      </w:r>
      <w:r w:rsidRPr="007930BA">
        <w:rPr>
          <w:color w:val="222222"/>
          <w:sz w:val="26"/>
          <w:szCs w:val="26"/>
        </w:rPr>
        <w:t>(article 10, CRPD)</w:t>
      </w:r>
    </w:p>
    <w:p w14:paraId="62BAD7B4" w14:textId="77777777" w:rsidR="007930BA" w:rsidRPr="007930BA" w:rsidRDefault="007930BA" w:rsidP="007930BA">
      <w:pPr>
        <w:pStyle w:val="Body1"/>
        <w:numPr>
          <w:ilvl w:val="0"/>
          <w:numId w:val="29"/>
        </w:numPr>
        <w:ind w:right="-755"/>
        <w:rPr>
          <w:rFonts w:asciiTheme="minorHAnsi" w:hAnsiTheme="minorHAnsi" w:cstheme="minorHAnsi"/>
          <w:sz w:val="26"/>
          <w:szCs w:val="26"/>
        </w:rPr>
      </w:pPr>
      <w:r w:rsidRPr="007930BA">
        <w:rPr>
          <w:rFonts w:asciiTheme="minorHAnsi" w:hAnsiTheme="minorHAnsi" w:cstheme="minorHAnsi"/>
          <w:b/>
          <w:sz w:val="26"/>
          <w:szCs w:val="26"/>
        </w:rPr>
        <w:t xml:space="preserve">Right to protection from degrading treatment which include positive duties of prevention, protection and remedy. </w:t>
      </w:r>
      <w:r w:rsidRPr="007930BA">
        <w:rPr>
          <w:rFonts w:asciiTheme="minorHAnsi" w:hAnsiTheme="minorHAnsi" w:cstheme="minorHAnsi"/>
          <w:sz w:val="26"/>
          <w:szCs w:val="26"/>
        </w:rPr>
        <w:t>This may include to prevent someone being left in degrading circumstances and to promptly investigate preventable death or ill-treatment in custodial settings (3 of the ECHR/HRA, CAT).</w:t>
      </w:r>
    </w:p>
    <w:p w14:paraId="34F1ECE2" w14:textId="77777777" w:rsidR="007930BA" w:rsidRPr="007930BA" w:rsidRDefault="007930BA" w:rsidP="007930BA">
      <w:pPr>
        <w:pStyle w:val="Body1"/>
        <w:numPr>
          <w:ilvl w:val="0"/>
          <w:numId w:val="29"/>
        </w:numPr>
        <w:ind w:right="-755"/>
        <w:rPr>
          <w:rFonts w:asciiTheme="minorHAnsi" w:hAnsiTheme="minorHAnsi" w:cstheme="minorHAnsi"/>
          <w:sz w:val="26"/>
          <w:szCs w:val="26"/>
        </w:rPr>
      </w:pPr>
      <w:r w:rsidRPr="007930BA">
        <w:rPr>
          <w:rFonts w:asciiTheme="minorHAnsi" w:hAnsiTheme="minorHAnsi" w:cstheme="minorHAnsi"/>
          <w:b/>
          <w:sz w:val="26"/>
          <w:szCs w:val="26"/>
        </w:rPr>
        <w:lastRenderedPageBreak/>
        <w:t>The right to respect for private and family life</w:t>
      </w:r>
      <w:r w:rsidRPr="007930BA">
        <w:rPr>
          <w:rFonts w:asciiTheme="minorHAnsi" w:hAnsiTheme="minorHAnsi" w:cstheme="minorHAnsi"/>
          <w:sz w:val="26"/>
          <w:szCs w:val="26"/>
        </w:rPr>
        <w:t>, home and correspondence including physical and mental integrity, quality of life, well-being, autonomy and the right to take part in decisions (article 8, ECHR/HRA).</w:t>
      </w:r>
    </w:p>
    <w:p w14:paraId="4019616F" w14:textId="77777777" w:rsidR="007930BA" w:rsidRPr="007930BA" w:rsidRDefault="007930BA" w:rsidP="007930BA">
      <w:pPr>
        <w:pStyle w:val="bullet"/>
        <w:numPr>
          <w:ilvl w:val="0"/>
          <w:numId w:val="29"/>
        </w:numPr>
        <w:autoSpaceDE/>
        <w:autoSpaceDN/>
        <w:adjustRightInd/>
        <w:ind w:right="-755"/>
        <w:contextualSpacing w:val="0"/>
        <w:outlineLvl w:val="0"/>
        <w:rPr>
          <w:sz w:val="26"/>
          <w:szCs w:val="26"/>
        </w:rPr>
      </w:pPr>
      <w:r w:rsidRPr="007930BA">
        <w:rPr>
          <w:b/>
          <w:sz w:val="26"/>
          <w:szCs w:val="26"/>
        </w:rPr>
        <w:t>The best interests of the child</w:t>
      </w:r>
      <w:r w:rsidRPr="007930BA">
        <w:rPr>
          <w:sz w:val="26"/>
          <w:szCs w:val="26"/>
        </w:rPr>
        <w:t xml:space="preserve"> to be a primary consideration in all actions concerning a child (article 3, CRC)</w:t>
      </w:r>
    </w:p>
    <w:p w14:paraId="28BBB62B" w14:textId="77777777" w:rsidR="007930BA" w:rsidRPr="007930BA" w:rsidRDefault="007930BA" w:rsidP="007930BA">
      <w:pPr>
        <w:pStyle w:val="Body1"/>
        <w:ind w:left="-567" w:right="-755"/>
        <w:rPr>
          <w:rFonts w:asciiTheme="minorHAnsi" w:hAnsiTheme="minorHAnsi" w:cstheme="minorHAnsi"/>
          <w:sz w:val="26"/>
          <w:szCs w:val="26"/>
        </w:rPr>
      </w:pPr>
    </w:p>
    <w:p w14:paraId="6F6C64DE" w14:textId="09E119AB" w:rsidR="00D13CE5" w:rsidRPr="007930BA" w:rsidRDefault="00012E31" w:rsidP="007930BA">
      <w:pPr>
        <w:pStyle w:val="Body1"/>
        <w:ind w:left="-567" w:right="-755"/>
        <w:rPr>
          <w:rFonts w:asciiTheme="minorHAnsi" w:hAnsiTheme="minorHAnsi" w:cstheme="minorHAnsi"/>
          <w:b/>
          <w:sz w:val="26"/>
          <w:szCs w:val="26"/>
        </w:rPr>
      </w:pPr>
      <w:r>
        <w:rPr>
          <w:rFonts w:asciiTheme="minorHAnsi" w:hAnsiTheme="minorHAnsi" w:cstheme="minorHAnsi"/>
          <w:sz w:val="26"/>
          <w:szCs w:val="26"/>
        </w:rPr>
        <w:t xml:space="preserve">Within recent UN Treaty reviews – on </w:t>
      </w:r>
      <w:r w:rsidR="00D13CE5">
        <w:rPr>
          <w:rFonts w:asciiTheme="minorHAnsi" w:hAnsiTheme="minorHAnsi" w:cstheme="minorHAnsi"/>
          <w:sz w:val="26"/>
          <w:szCs w:val="26"/>
        </w:rPr>
        <w:t>recommendations with regard to</w:t>
      </w:r>
      <w:r w:rsidR="007930BA" w:rsidRPr="00D13CE5">
        <w:rPr>
          <w:rFonts w:asciiTheme="minorHAnsi" w:hAnsiTheme="minorHAnsi" w:cstheme="minorHAnsi"/>
          <w:sz w:val="26"/>
          <w:szCs w:val="26"/>
        </w:rPr>
        <w:t xml:space="preserve"> </w:t>
      </w:r>
      <w:r>
        <w:rPr>
          <w:rFonts w:asciiTheme="minorHAnsi" w:hAnsiTheme="minorHAnsi" w:cstheme="minorHAnsi"/>
          <w:sz w:val="26"/>
          <w:szCs w:val="26"/>
        </w:rPr>
        <w:t xml:space="preserve">health in </w:t>
      </w:r>
      <w:r w:rsidR="007930BA" w:rsidRPr="00D13CE5">
        <w:rPr>
          <w:rFonts w:asciiTheme="minorHAnsi" w:hAnsiTheme="minorHAnsi" w:cstheme="minorHAnsi"/>
          <w:sz w:val="26"/>
          <w:szCs w:val="26"/>
        </w:rPr>
        <w:t xml:space="preserve">detention, international human rights bodies have called on the UK to: </w:t>
      </w:r>
    </w:p>
    <w:p w14:paraId="2642653A" w14:textId="77777777" w:rsidR="007930BA" w:rsidRPr="007930BA" w:rsidRDefault="007930BA" w:rsidP="007930BA">
      <w:pPr>
        <w:pStyle w:val="bullet"/>
        <w:numPr>
          <w:ilvl w:val="0"/>
          <w:numId w:val="29"/>
        </w:numPr>
        <w:autoSpaceDE/>
        <w:autoSpaceDN/>
        <w:adjustRightInd/>
        <w:ind w:right="-755"/>
        <w:contextualSpacing w:val="0"/>
        <w:outlineLvl w:val="0"/>
        <w:rPr>
          <w:sz w:val="26"/>
          <w:szCs w:val="26"/>
        </w:rPr>
      </w:pPr>
      <w:r w:rsidRPr="007930BA">
        <w:rPr>
          <w:sz w:val="26"/>
          <w:szCs w:val="26"/>
        </w:rPr>
        <w:t>Improving access to health care and services for prisoners (CAT 2019; CEDAW 2019; CRC 2016; ICCPR 2016)</w:t>
      </w:r>
    </w:p>
    <w:p w14:paraId="5C32214F" w14:textId="77777777" w:rsidR="007930BA" w:rsidRPr="007930BA" w:rsidRDefault="007930BA" w:rsidP="007930BA">
      <w:pPr>
        <w:pStyle w:val="bullet"/>
        <w:numPr>
          <w:ilvl w:val="0"/>
          <w:numId w:val="29"/>
        </w:numPr>
        <w:autoSpaceDE/>
        <w:autoSpaceDN/>
        <w:adjustRightInd/>
        <w:ind w:right="-755"/>
        <w:contextualSpacing w:val="0"/>
        <w:outlineLvl w:val="0"/>
        <w:rPr>
          <w:sz w:val="26"/>
          <w:szCs w:val="26"/>
        </w:rPr>
      </w:pPr>
      <w:r w:rsidRPr="007930BA">
        <w:rPr>
          <w:sz w:val="26"/>
          <w:szCs w:val="26"/>
        </w:rPr>
        <w:t>Access to health services, including mental health services, is insufficient for children in custody (CRC 2016)</w:t>
      </w:r>
    </w:p>
    <w:p w14:paraId="0A34B93B" w14:textId="77777777" w:rsidR="007930BA" w:rsidRPr="007930BA" w:rsidRDefault="007930BA" w:rsidP="007930BA">
      <w:pPr>
        <w:pStyle w:val="bullet"/>
        <w:numPr>
          <w:ilvl w:val="0"/>
          <w:numId w:val="29"/>
        </w:numPr>
        <w:autoSpaceDE/>
        <w:autoSpaceDN/>
        <w:adjustRightInd/>
        <w:ind w:right="-755"/>
        <w:contextualSpacing w:val="0"/>
        <w:outlineLvl w:val="0"/>
        <w:rPr>
          <w:sz w:val="26"/>
          <w:szCs w:val="26"/>
        </w:rPr>
      </w:pPr>
      <w:r w:rsidRPr="007930BA">
        <w:rPr>
          <w:sz w:val="26"/>
          <w:szCs w:val="26"/>
        </w:rPr>
        <w:t>Take robust measures to prevent self-inflicted deaths (suicides), including suicides and self-harm in custody, including improve risk assessments, early prevention strategies, adequate training to prison officials, appropriate mental health, combating bullying in custody, independent and thorough investigations in the event of a suicide, and give due consideration to the Harris Review report and to implementing its recommendations (ICCPR 2015)</w:t>
      </w:r>
    </w:p>
    <w:p w14:paraId="23B2C4A2" w14:textId="77777777" w:rsidR="007930BA" w:rsidRPr="007930BA" w:rsidRDefault="007930BA" w:rsidP="007930BA">
      <w:pPr>
        <w:pStyle w:val="bullet"/>
        <w:numPr>
          <w:ilvl w:val="0"/>
          <w:numId w:val="29"/>
        </w:numPr>
        <w:autoSpaceDE/>
        <w:autoSpaceDN/>
        <w:adjustRightInd/>
        <w:ind w:right="-755"/>
        <w:contextualSpacing w:val="0"/>
        <w:outlineLvl w:val="0"/>
        <w:rPr>
          <w:sz w:val="26"/>
          <w:szCs w:val="26"/>
        </w:rPr>
      </w:pPr>
      <w:r w:rsidRPr="007930BA">
        <w:rPr>
          <w:sz w:val="26"/>
          <w:szCs w:val="26"/>
        </w:rPr>
        <w:t xml:space="preserve">Improve mental health care services in prisons, taking into account the particular needs of women and the disproportionate rate of self-harm and suicide among women (CEDAW 2019) </w:t>
      </w:r>
    </w:p>
    <w:p w14:paraId="1C2E372C" w14:textId="77777777" w:rsidR="007930BA" w:rsidRPr="007930BA" w:rsidRDefault="007930BA" w:rsidP="007930BA">
      <w:pPr>
        <w:pStyle w:val="bullet"/>
        <w:numPr>
          <w:ilvl w:val="0"/>
          <w:numId w:val="29"/>
        </w:numPr>
        <w:autoSpaceDE/>
        <w:autoSpaceDN/>
        <w:adjustRightInd/>
        <w:ind w:right="-755"/>
        <w:contextualSpacing w:val="0"/>
        <w:outlineLvl w:val="0"/>
        <w:rPr>
          <w:sz w:val="26"/>
          <w:szCs w:val="26"/>
        </w:rPr>
      </w:pPr>
      <w:r w:rsidRPr="007930BA">
        <w:rPr>
          <w:sz w:val="26"/>
          <w:szCs w:val="26"/>
        </w:rPr>
        <w:t>Allocate sufficient resources to the mental health sector, to ensure the accessibility, availability and quality of mental health care for all, including persons in detention (CAT 2019; CESCR 2016; CEDAW 2019; CERD 2016; CRC 2016).</w:t>
      </w:r>
    </w:p>
    <w:p w14:paraId="34074EEE" w14:textId="4A76EE6C" w:rsidR="007930BA" w:rsidRDefault="007930BA" w:rsidP="007930BA">
      <w:pPr>
        <w:pStyle w:val="bullet"/>
        <w:numPr>
          <w:ilvl w:val="0"/>
          <w:numId w:val="29"/>
        </w:numPr>
        <w:autoSpaceDE/>
        <w:autoSpaceDN/>
        <w:adjustRightInd/>
        <w:ind w:right="-755"/>
        <w:contextualSpacing w:val="0"/>
        <w:outlineLvl w:val="0"/>
        <w:rPr>
          <w:sz w:val="26"/>
          <w:szCs w:val="26"/>
        </w:rPr>
      </w:pPr>
      <w:r w:rsidRPr="007930BA">
        <w:rPr>
          <w:sz w:val="26"/>
          <w:szCs w:val="26"/>
        </w:rPr>
        <w:t>Implement the outstanding recommendations of the Equality and Human Rights Commission inquiry into deaths in detention of adults with mental health conditions, aimed at enhancing art. 2 of the European Convention on Human Rights (CRPD 2017)</w:t>
      </w:r>
    </w:p>
    <w:p w14:paraId="462C3B1D" w14:textId="2970F5BC" w:rsidR="002D48C4" w:rsidRPr="002D48C4" w:rsidRDefault="002D48C4" w:rsidP="002D48C4">
      <w:pPr>
        <w:pStyle w:val="bullet"/>
        <w:numPr>
          <w:ilvl w:val="0"/>
          <w:numId w:val="0"/>
        </w:numPr>
        <w:autoSpaceDE/>
        <w:autoSpaceDN/>
        <w:adjustRightInd/>
        <w:ind w:right="-755"/>
        <w:contextualSpacing w:val="0"/>
        <w:outlineLvl w:val="0"/>
        <w:rPr>
          <w:b/>
          <w:sz w:val="26"/>
          <w:szCs w:val="26"/>
        </w:rPr>
      </w:pPr>
    </w:p>
    <w:p w14:paraId="53A95A4C" w14:textId="618F1F20" w:rsidR="002D48C4" w:rsidRPr="002D48C4" w:rsidRDefault="00012E31" w:rsidP="00012E31">
      <w:pPr>
        <w:pStyle w:val="bullet"/>
        <w:numPr>
          <w:ilvl w:val="0"/>
          <w:numId w:val="0"/>
        </w:numPr>
        <w:autoSpaceDE/>
        <w:autoSpaceDN/>
        <w:adjustRightInd/>
        <w:ind w:left="-567" w:right="-755"/>
        <w:contextualSpacing w:val="0"/>
        <w:jc w:val="both"/>
        <w:outlineLvl w:val="0"/>
        <w:rPr>
          <w:b/>
          <w:sz w:val="26"/>
          <w:szCs w:val="26"/>
        </w:rPr>
      </w:pPr>
      <w:r>
        <w:rPr>
          <w:b/>
          <w:sz w:val="26"/>
          <w:szCs w:val="26"/>
        </w:rPr>
        <w:t xml:space="preserve">3. </w:t>
      </w:r>
      <w:r w:rsidR="002D48C4" w:rsidRPr="002D48C4">
        <w:rPr>
          <w:b/>
          <w:sz w:val="26"/>
          <w:szCs w:val="26"/>
        </w:rPr>
        <w:t xml:space="preserve">Justice and Safety </w:t>
      </w:r>
    </w:p>
    <w:p w14:paraId="176BBFEE" w14:textId="77777777" w:rsidR="007930BA" w:rsidRPr="007930BA" w:rsidRDefault="007930BA" w:rsidP="007930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right="-755"/>
        <w:rPr>
          <w:sz w:val="26"/>
          <w:szCs w:val="26"/>
        </w:rPr>
      </w:pPr>
    </w:p>
    <w:p w14:paraId="54CB2A0E" w14:textId="1EA22F4F" w:rsidR="00D13CE5" w:rsidRPr="007930BA" w:rsidRDefault="007930BA" w:rsidP="00410518">
      <w:pPr>
        <w:pStyle w:val="Heading3"/>
        <w:numPr>
          <w:ilvl w:val="0"/>
          <w:numId w:val="0"/>
        </w:numPr>
        <w:ind w:left="-567" w:right="-755"/>
        <w:rPr>
          <w:b/>
          <w:sz w:val="26"/>
          <w:szCs w:val="26"/>
        </w:rPr>
      </w:pPr>
      <w:r w:rsidRPr="007930BA">
        <w:rPr>
          <w:sz w:val="26"/>
          <w:szCs w:val="26"/>
        </w:rPr>
        <w:t xml:space="preserve">Human Rights Framework and international </w:t>
      </w:r>
      <w:r w:rsidR="00012E31">
        <w:rPr>
          <w:sz w:val="26"/>
          <w:szCs w:val="26"/>
        </w:rPr>
        <w:t>obligations relating to issues of</w:t>
      </w:r>
      <w:r w:rsidRPr="007930BA">
        <w:rPr>
          <w:sz w:val="26"/>
          <w:szCs w:val="26"/>
        </w:rPr>
        <w:t xml:space="preserve"> Justice &amp; Safety</w:t>
      </w:r>
      <w:bookmarkEnd w:id="3"/>
      <w:r w:rsidR="00012E31">
        <w:rPr>
          <w:sz w:val="26"/>
          <w:szCs w:val="26"/>
        </w:rPr>
        <w:t xml:space="preserve">.  </w:t>
      </w:r>
      <w:r w:rsidRPr="007930BA">
        <w:rPr>
          <w:sz w:val="26"/>
          <w:szCs w:val="26"/>
        </w:rPr>
        <w:t>Among the internationally recognised rights engaged are</w:t>
      </w:r>
      <w:r w:rsidRPr="007930BA">
        <w:rPr>
          <w:b/>
          <w:sz w:val="26"/>
          <w:szCs w:val="26"/>
        </w:rPr>
        <w:t>:</w:t>
      </w:r>
    </w:p>
    <w:p w14:paraId="0E5D5FBC" w14:textId="77777777" w:rsidR="007930BA" w:rsidRPr="007930BA" w:rsidRDefault="007930BA" w:rsidP="007930BA">
      <w:pPr>
        <w:pStyle w:val="Body1"/>
        <w:numPr>
          <w:ilvl w:val="0"/>
          <w:numId w:val="30"/>
        </w:numPr>
        <w:ind w:right="-755"/>
        <w:rPr>
          <w:rFonts w:asciiTheme="minorHAnsi" w:hAnsiTheme="minorHAnsi" w:cstheme="minorHAnsi"/>
          <w:sz w:val="26"/>
          <w:szCs w:val="26"/>
        </w:rPr>
      </w:pPr>
      <w:r w:rsidRPr="007930BA">
        <w:rPr>
          <w:rFonts w:asciiTheme="minorHAnsi" w:hAnsiTheme="minorHAnsi" w:cstheme="minorHAnsi"/>
          <w:b/>
          <w:sz w:val="26"/>
          <w:szCs w:val="26"/>
        </w:rPr>
        <w:t>The right to dignified and humane conditions of detention</w:t>
      </w:r>
      <w:r w:rsidRPr="007930BA">
        <w:rPr>
          <w:rFonts w:asciiTheme="minorHAnsi" w:hAnsiTheme="minorHAnsi" w:cstheme="minorHAnsi"/>
          <w:sz w:val="26"/>
          <w:szCs w:val="26"/>
        </w:rPr>
        <w:t xml:space="preserve"> (article 10, ICCPR);</w:t>
      </w:r>
    </w:p>
    <w:p w14:paraId="2F2E60AD" w14:textId="77777777" w:rsidR="007930BA" w:rsidRPr="007930BA" w:rsidRDefault="007930BA" w:rsidP="007930BA">
      <w:pPr>
        <w:pStyle w:val="Body1"/>
        <w:numPr>
          <w:ilvl w:val="0"/>
          <w:numId w:val="30"/>
        </w:numPr>
        <w:ind w:right="-755"/>
        <w:rPr>
          <w:rFonts w:asciiTheme="minorHAnsi" w:hAnsiTheme="minorHAnsi" w:cstheme="minorHAnsi"/>
          <w:sz w:val="26"/>
          <w:szCs w:val="26"/>
        </w:rPr>
      </w:pPr>
      <w:r w:rsidRPr="007930BA">
        <w:rPr>
          <w:rFonts w:asciiTheme="minorHAnsi" w:hAnsiTheme="minorHAnsi" w:cstheme="minorHAnsi"/>
          <w:b/>
          <w:sz w:val="26"/>
          <w:szCs w:val="26"/>
        </w:rPr>
        <w:t>The right to appropriate conditions of detention of children</w:t>
      </w:r>
      <w:r w:rsidRPr="007930BA">
        <w:rPr>
          <w:rFonts w:asciiTheme="minorHAnsi" w:hAnsiTheme="minorHAnsi" w:cstheme="minorHAnsi"/>
          <w:sz w:val="26"/>
          <w:szCs w:val="26"/>
        </w:rPr>
        <w:t xml:space="preserve"> (article 37, CRC); </w:t>
      </w:r>
    </w:p>
    <w:p w14:paraId="213F9B3A" w14:textId="77777777" w:rsidR="007930BA" w:rsidRPr="007930BA" w:rsidRDefault="007930BA" w:rsidP="007930BA">
      <w:pPr>
        <w:pStyle w:val="Body1"/>
        <w:numPr>
          <w:ilvl w:val="0"/>
          <w:numId w:val="30"/>
        </w:numPr>
        <w:ind w:right="-755"/>
        <w:rPr>
          <w:rFonts w:asciiTheme="minorHAnsi" w:hAnsiTheme="minorHAnsi" w:cstheme="minorHAnsi"/>
          <w:sz w:val="26"/>
          <w:szCs w:val="26"/>
        </w:rPr>
      </w:pPr>
      <w:r w:rsidRPr="007930BA">
        <w:rPr>
          <w:rFonts w:asciiTheme="minorHAnsi" w:hAnsiTheme="minorHAnsi" w:cstheme="minorHAnsi"/>
          <w:b/>
          <w:sz w:val="26"/>
          <w:szCs w:val="26"/>
        </w:rPr>
        <w:t>The absolute prohibition of cruel, inhuman or degrading treatment or punishment including positive obligations of prevention, protection and remedy</w:t>
      </w:r>
      <w:r w:rsidRPr="007930BA">
        <w:rPr>
          <w:rFonts w:asciiTheme="minorHAnsi" w:hAnsiTheme="minorHAnsi" w:cstheme="minorHAnsi"/>
          <w:sz w:val="26"/>
          <w:szCs w:val="26"/>
        </w:rPr>
        <w:t xml:space="preserve"> (article 3 HRA, ECHR; article 2, CAT)</w:t>
      </w:r>
    </w:p>
    <w:p w14:paraId="2032B366" w14:textId="77777777" w:rsidR="007930BA" w:rsidRPr="007930BA" w:rsidRDefault="007930BA" w:rsidP="007930BA">
      <w:pPr>
        <w:pStyle w:val="Body1"/>
        <w:numPr>
          <w:ilvl w:val="0"/>
          <w:numId w:val="30"/>
        </w:numPr>
        <w:ind w:right="-755"/>
        <w:rPr>
          <w:rFonts w:asciiTheme="minorHAnsi" w:hAnsiTheme="minorHAnsi" w:cstheme="minorHAnsi"/>
          <w:sz w:val="26"/>
          <w:szCs w:val="26"/>
        </w:rPr>
      </w:pPr>
      <w:r w:rsidRPr="007930BA">
        <w:rPr>
          <w:rFonts w:asciiTheme="minorHAnsi" w:hAnsiTheme="minorHAnsi" w:cstheme="minorHAnsi"/>
          <w:b/>
          <w:sz w:val="26"/>
          <w:szCs w:val="26"/>
          <w:shd w:val="clear" w:color="auto" w:fill="FFFFFF"/>
        </w:rPr>
        <w:t>Education and training on the prohibition against torture</w:t>
      </w:r>
      <w:r w:rsidRPr="007930BA">
        <w:rPr>
          <w:rFonts w:asciiTheme="minorHAnsi" w:hAnsiTheme="minorHAnsi" w:cstheme="minorHAnsi"/>
          <w:sz w:val="26"/>
          <w:szCs w:val="26"/>
          <w:shd w:val="clear" w:color="auto" w:fill="FFFFFF"/>
        </w:rPr>
        <w:t xml:space="preserve"> is provided to all public officials and other persons who may be involved in the custody, interrogation or treatment of any individual subjected to any form of arrest, detention or imprisonment (article 10, CAT)</w:t>
      </w:r>
    </w:p>
    <w:p w14:paraId="541913CA" w14:textId="77777777" w:rsidR="007930BA" w:rsidRPr="007930BA" w:rsidRDefault="007930BA" w:rsidP="007930BA">
      <w:pPr>
        <w:pStyle w:val="Body1"/>
        <w:numPr>
          <w:ilvl w:val="0"/>
          <w:numId w:val="30"/>
        </w:numPr>
        <w:ind w:right="-755"/>
        <w:rPr>
          <w:rFonts w:asciiTheme="minorHAnsi" w:hAnsiTheme="minorHAnsi" w:cstheme="minorHAnsi"/>
          <w:sz w:val="26"/>
          <w:szCs w:val="26"/>
        </w:rPr>
      </w:pPr>
      <w:r w:rsidRPr="007930BA">
        <w:rPr>
          <w:rFonts w:asciiTheme="minorHAnsi" w:hAnsiTheme="minorHAnsi" w:cstheme="minorHAnsi"/>
          <w:b/>
          <w:sz w:val="26"/>
          <w:szCs w:val="26"/>
          <w:shd w:val="clear" w:color="auto" w:fill="FFFFFF"/>
        </w:rPr>
        <w:t>Systematic review arrangements for the custody and treatment</w:t>
      </w:r>
      <w:r w:rsidRPr="007930BA">
        <w:rPr>
          <w:rFonts w:asciiTheme="minorHAnsi" w:hAnsiTheme="minorHAnsi" w:cstheme="minorHAnsi"/>
          <w:sz w:val="26"/>
          <w:szCs w:val="26"/>
          <w:shd w:val="clear" w:color="auto" w:fill="FFFFFF"/>
        </w:rPr>
        <w:t xml:space="preserve"> of persons subjected to any form of arrest, detention or imprisonment, with a view to preventing any cases of torture (article 11, CAT)</w:t>
      </w:r>
    </w:p>
    <w:p w14:paraId="61190E03" w14:textId="77777777" w:rsidR="007930BA" w:rsidRPr="007930BA" w:rsidRDefault="007930BA" w:rsidP="007930BA">
      <w:pPr>
        <w:pStyle w:val="Body1"/>
        <w:numPr>
          <w:ilvl w:val="0"/>
          <w:numId w:val="30"/>
        </w:numPr>
        <w:ind w:right="-755"/>
        <w:rPr>
          <w:rFonts w:asciiTheme="minorHAnsi" w:hAnsiTheme="minorHAnsi" w:cstheme="minorHAnsi"/>
          <w:sz w:val="26"/>
          <w:szCs w:val="26"/>
        </w:rPr>
      </w:pPr>
      <w:r w:rsidRPr="007930BA">
        <w:rPr>
          <w:rFonts w:asciiTheme="minorHAnsi" w:hAnsiTheme="minorHAnsi" w:cstheme="minorHAnsi"/>
          <w:b/>
          <w:sz w:val="26"/>
          <w:szCs w:val="26"/>
          <w:shd w:val="clear" w:color="auto" w:fill="FFFFFF"/>
        </w:rPr>
        <w:lastRenderedPageBreak/>
        <w:t>The right to prompt and impartial investigation</w:t>
      </w:r>
      <w:r w:rsidRPr="007930BA">
        <w:rPr>
          <w:rFonts w:asciiTheme="minorHAnsi" w:hAnsiTheme="minorHAnsi" w:cstheme="minorHAnsi"/>
          <w:sz w:val="26"/>
          <w:szCs w:val="26"/>
          <w:shd w:val="clear" w:color="auto" w:fill="FFFFFF"/>
        </w:rPr>
        <w:t>, wherever there is reasonable ground to believe that an act of torture has been committed (article 12, CAT)</w:t>
      </w:r>
    </w:p>
    <w:p w14:paraId="193B7CEF" w14:textId="77777777" w:rsidR="007930BA" w:rsidRPr="007930BA" w:rsidRDefault="007930BA" w:rsidP="007930BA">
      <w:pPr>
        <w:pStyle w:val="Body1"/>
        <w:numPr>
          <w:ilvl w:val="0"/>
          <w:numId w:val="30"/>
        </w:numPr>
        <w:ind w:right="-755"/>
        <w:rPr>
          <w:rFonts w:asciiTheme="minorHAnsi" w:hAnsiTheme="minorHAnsi" w:cstheme="minorHAnsi"/>
          <w:sz w:val="26"/>
          <w:szCs w:val="26"/>
        </w:rPr>
      </w:pPr>
      <w:r w:rsidRPr="007930BA">
        <w:rPr>
          <w:rFonts w:asciiTheme="minorHAnsi" w:hAnsiTheme="minorHAnsi" w:cstheme="minorHAnsi"/>
          <w:b/>
          <w:sz w:val="26"/>
          <w:szCs w:val="26"/>
          <w:shd w:val="clear" w:color="auto" w:fill="FFFFFF"/>
        </w:rPr>
        <w:t>The right to complain</w:t>
      </w:r>
      <w:r w:rsidRPr="007930BA">
        <w:rPr>
          <w:rFonts w:asciiTheme="minorHAnsi" w:hAnsiTheme="minorHAnsi" w:cstheme="minorHAnsi"/>
          <w:sz w:val="26"/>
          <w:szCs w:val="26"/>
          <w:shd w:val="clear" w:color="auto" w:fill="FFFFFF"/>
        </w:rPr>
        <w:t>, to have a case promptly and impartially examined and insurance that witnesses are protected against all ill-treatment or intimidation as a consequence of the complaint or any evidence given (article 13, CAT)</w:t>
      </w:r>
    </w:p>
    <w:p w14:paraId="1A348942" w14:textId="77777777" w:rsidR="007930BA" w:rsidRPr="007930BA" w:rsidRDefault="007930BA" w:rsidP="007930BA">
      <w:pPr>
        <w:pStyle w:val="Body1"/>
        <w:numPr>
          <w:ilvl w:val="0"/>
          <w:numId w:val="30"/>
        </w:numPr>
        <w:ind w:right="-755"/>
        <w:rPr>
          <w:rFonts w:asciiTheme="minorHAnsi" w:hAnsiTheme="minorHAnsi" w:cstheme="minorHAnsi"/>
          <w:sz w:val="26"/>
          <w:szCs w:val="26"/>
        </w:rPr>
      </w:pPr>
      <w:r w:rsidRPr="007930BA">
        <w:rPr>
          <w:rFonts w:asciiTheme="minorHAnsi" w:hAnsiTheme="minorHAnsi" w:cstheme="minorHAnsi"/>
          <w:b/>
          <w:sz w:val="26"/>
          <w:szCs w:val="26"/>
        </w:rPr>
        <w:t xml:space="preserve">Right of children and young persons to protection </w:t>
      </w:r>
      <w:r w:rsidRPr="007930BA">
        <w:rPr>
          <w:rFonts w:asciiTheme="minorHAnsi" w:hAnsiTheme="minorHAnsi" w:cstheme="minorHAnsi"/>
          <w:sz w:val="26"/>
          <w:szCs w:val="26"/>
        </w:rPr>
        <w:t>(article 7, ESC)</w:t>
      </w:r>
    </w:p>
    <w:p w14:paraId="6C8277CC" w14:textId="77777777" w:rsidR="007930BA" w:rsidRPr="007930BA" w:rsidRDefault="007930BA" w:rsidP="007930BA">
      <w:pPr>
        <w:pStyle w:val="Body1"/>
        <w:numPr>
          <w:ilvl w:val="0"/>
          <w:numId w:val="30"/>
        </w:numPr>
        <w:ind w:right="-755"/>
        <w:rPr>
          <w:rFonts w:asciiTheme="minorHAnsi" w:hAnsiTheme="minorHAnsi" w:cstheme="minorHAnsi"/>
          <w:sz w:val="26"/>
          <w:szCs w:val="26"/>
        </w:rPr>
      </w:pPr>
      <w:r w:rsidRPr="007930BA">
        <w:rPr>
          <w:rFonts w:asciiTheme="minorHAnsi" w:hAnsiTheme="minorHAnsi" w:cstheme="minorHAnsi"/>
          <w:b/>
          <w:sz w:val="26"/>
          <w:szCs w:val="26"/>
        </w:rPr>
        <w:t>The right to respect for private and family life</w:t>
      </w:r>
      <w:r w:rsidRPr="007930BA">
        <w:rPr>
          <w:rFonts w:asciiTheme="minorHAnsi" w:hAnsiTheme="minorHAnsi" w:cstheme="minorHAnsi"/>
          <w:sz w:val="26"/>
          <w:szCs w:val="26"/>
        </w:rPr>
        <w:t>, home and correspondence, including physical and mental integrity. This includes positive duties of prevention, protection and remedy of violence and abuse (article 8, HRA).</w:t>
      </w:r>
    </w:p>
    <w:p w14:paraId="643AD09B" w14:textId="77777777" w:rsidR="007930BA" w:rsidRPr="007930BA" w:rsidRDefault="007930BA" w:rsidP="007930BA">
      <w:pPr>
        <w:pStyle w:val="Body1"/>
        <w:numPr>
          <w:ilvl w:val="0"/>
          <w:numId w:val="30"/>
        </w:numPr>
        <w:ind w:right="-755"/>
        <w:rPr>
          <w:rFonts w:asciiTheme="minorHAnsi" w:hAnsiTheme="minorHAnsi" w:cstheme="minorHAnsi"/>
          <w:sz w:val="26"/>
          <w:szCs w:val="26"/>
        </w:rPr>
      </w:pPr>
      <w:r w:rsidRPr="007930BA">
        <w:rPr>
          <w:rFonts w:asciiTheme="minorHAnsi" w:hAnsiTheme="minorHAnsi" w:cstheme="minorHAnsi"/>
          <w:b/>
          <w:sz w:val="26"/>
          <w:szCs w:val="26"/>
        </w:rPr>
        <w:t>The best interests of the child</w:t>
      </w:r>
      <w:r w:rsidRPr="007930BA">
        <w:rPr>
          <w:rFonts w:asciiTheme="minorHAnsi" w:hAnsiTheme="minorHAnsi" w:cstheme="minorHAnsi"/>
          <w:sz w:val="26"/>
          <w:szCs w:val="26"/>
        </w:rPr>
        <w:t xml:space="preserve"> to be a primary consideration in all actions concerning a child (article 3, CRC)</w:t>
      </w:r>
    </w:p>
    <w:p w14:paraId="3F61C21F" w14:textId="77777777" w:rsidR="007930BA" w:rsidRPr="007930BA" w:rsidRDefault="007930BA" w:rsidP="007930BA">
      <w:pPr>
        <w:numPr>
          <w:ilvl w:val="0"/>
          <w:numId w:val="30"/>
        </w:numPr>
        <w:shd w:val="clear" w:color="auto" w:fill="FFFFFF"/>
        <w:autoSpaceDE/>
        <w:autoSpaceDN/>
        <w:adjustRightInd/>
        <w:ind w:right="-755"/>
        <w:rPr>
          <w:color w:val="222222"/>
          <w:sz w:val="26"/>
          <w:szCs w:val="26"/>
        </w:rPr>
      </w:pPr>
      <w:r w:rsidRPr="007930BA">
        <w:rPr>
          <w:b/>
          <w:color w:val="222222"/>
          <w:sz w:val="26"/>
          <w:szCs w:val="26"/>
        </w:rPr>
        <w:t>Protection of children from all forms of violence</w:t>
      </w:r>
      <w:r w:rsidRPr="007930BA">
        <w:rPr>
          <w:color w:val="222222"/>
          <w:sz w:val="26"/>
          <w:szCs w:val="26"/>
        </w:rPr>
        <w:t xml:space="preserve">, injury or abuse, neglect, maltreatment or exploitation, sexual abuse (articles 19 &amp; 37, CRC), </w:t>
      </w:r>
    </w:p>
    <w:p w14:paraId="2460E3C0" w14:textId="77777777" w:rsidR="007930BA" w:rsidRPr="007930BA" w:rsidRDefault="007930BA" w:rsidP="007930BA">
      <w:pPr>
        <w:numPr>
          <w:ilvl w:val="0"/>
          <w:numId w:val="30"/>
        </w:numPr>
        <w:shd w:val="clear" w:color="auto" w:fill="FFFFFF"/>
        <w:autoSpaceDE/>
        <w:autoSpaceDN/>
        <w:adjustRightInd/>
        <w:ind w:right="-755"/>
        <w:rPr>
          <w:color w:val="222222"/>
          <w:sz w:val="26"/>
          <w:szCs w:val="26"/>
        </w:rPr>
      </w:pPr>
      <w:r w:rsidRPr="007930BA">
        <w:rPr>
          <w:b/>
          <w:color w:val="222222"/>
          <w:sz w:val="26"/>
          <w:szCs w:val="26"/>
        </w:rPr>
        <w:t>Elimination of violence against women and girls</w:t>
      </w:r>
      <w:r w:rsidRPr="007930BA">
        <w:rPr>
          <w:color w:val="222222"/>
          <w:sz w:val="26"/>
          <w:szCs w:val="26"/>
        </w:rPr>
        <w:t xml:space="preserve"> (articles 3 &amp; 5, UDHR; article 7, ICCPR; articles 1-6 CEDAW; articles 1-4, DEVAW; articles 24(3)&amp; 35, CRC; Istanbul Convention on preventing and combating violence against women and domestic violence)</w:t>
      </w:r>
    </w:p>
    <w:p w14:paraId="340DF0FA" w14:textId="77777777" w:rsidR="007930BA" w:rsidRPr="007930BA" w:rsidRDefault="007930BA" w:rsidP="007930BA">
      <w:pPr>
        <w:numPr>
          <w:ilvl w:val="0"/>
          <w:numId w:val="30"/>
        </w:numPr>
        <w:shd w:val="clear" w:color="auto" w:fill="FFFFFF"/>
        <w:autoSpaceDE/>
        <w:autoSpaceDN/>
        <w:adjustRightInd/>
        <w:ind w:right="-755"/>
        <w:rPr>
          <w:color w:val="222222"/>
          <w:sz w:val="26"/>
          <w:szCs w:val="26"/>
        </w:rPr>
      </w:pPr>
      <w:r w:rsidRPr="007930BA">
        <w:rPr>
          <w:b/>
          <w:color w:val="222222"/>
          <w:sz w:val="26"/>
          <w:szCs w:val="26"/>
        </w:rPr>
        <w:t>Right of disabled people to freedom from exploitation, violence and abuse</w:t>
      </w:r>
      <w:r w:rsidRPr="007930BA">
        <w:rPr>
          <w:color w:val="222222"/>
          <w:sz w:val="26"/>
          <w:szCs w:val="26"/>
        </w:rPr>
        <w:t xml:space="preserve"> (article 16, CRPD)</w:t>
      </w:r>
    </w:p>
    <w:p w14:paraId="15E27174" w14:textId="77777777" w:rsidR="007930BA" w:rsidRPr="007930BA" w:rsidRDefault="007930BA" w:rsidP="007930BA">
      <w:pPr>
        <w:pStyle w:val="Body1"/>
        <w:numPr>
          <w:ilvl w:val="0"/>
          <w:numId w:val="30"/>
        </w:numPr>
        <w:ind w:right="-755"/>
        <w:rPr>
          <w:rFonts w:asciiTheme="minorHAnsi" w:hAnsiTheme="minorHAnsi" w:cstheme="minorHAnsi"/>
          <w:sz w:val="26"/>
          <w:szCs w:val="26"/>
        </w:rPr>
      </w:pPr>
      <w:r w:rsidRPr="007930BA">
        <w:rPr>
          <w:rFonts w:asciiTheme="minorHAnsi" w:hAnsiTheme="minorHAnsi" w:cstheme="minorHAnsi"/>
          <w:b/>
          <w:sz w:val="26"/>
          <w:szCs w:val="26"/>
        </w:rPr>
        <w:t>The duty to eradicate incitement to discrimination or violence aggravated by prejudice</w:t>
      </w:r>
      <w:r w:rsidRPr="007930BA">
        <w:rPr>
          <w:rFonts w:asciiTheme="minorHAnsi" w:hAnsiTheme="minorHAnsi" w:cstheme="minorHAnsi"/>
          <w:sz w:val="26"/>
          <w:szCs w:val="26"/>
        </w:rPr>
        <w:t xml:space="preserve"> (article 4, CERD; article 16, CRPD; case law of ECtHR)</w:t>
      </w:r>
    </w:p>
    <w:p w14:paraId="2B271F52" w14:textId="77777777" w:rsidR="007930BA" w:rsidRPr="007930BA" w:rsidRDefault="007930BA" w:rsidP="007930BA">
      <w:pPr>
        <w:pStyle w:val="Body1"/>
        <w:numPr>
          <w:ilvl w:val="0"/>
          <w:numId w:val="30"/>
        </w:numPr>
        <w:ind w:right="-755"/>
        <w:rPr>
          <w:rFonts w:asciiTheme="minorHAnsi" w:hAnsiTheme="minorHAnsi" w:cstheme="minorHAnsi"/>
          <w:sz w:val="26"/>
          <w:szCs w:val="26"/>
        </w:rPr>
      </w:pPr>
      <w:r w:rsidRPr="007930BA">
        <w:rPr>
          <w:rFonts w:asciiTheme="minorHAnsi" w:hAnsiTheme="minorHAnsi" w:cstheme="minorHAnsi"/>
          <w:b/>
          <w:sz w:val="26"/>
          <w:szCs w:val="26"/>
        </w:rPr>
        <w:t>The right to liberty</w:t>
      </w:r>
      <w:r w:rsidRPr="007930BA">
        <w:rPr>
          <w:rFonts w:asciiTheme="minorHAnsi" w:hAnsiTheme="minorHAnsi" w:cstheme="minorHAnsi"/>
          <w:sz w:val="26"/>
          <w:szCs w:val="26"/>
        </w:rPr>
        <w:t xml:space="preserve"> (article 5, ECHR)</w:t>
      </w:r>
    </w:p>
    <w:p w14:paraId="16E95EC3" w14:textId="77777777" w:rsidR="007930BA" w:rsidRPr="007930BA" w:rsidRDefault="007930BA" w:rsidP="007930BA">
      <w:pPr>
        <w:pStyle w:val="Body1"/>
        <w:numPr>
          <w:ilvl w:val="0"/>
          <w:numId w:val="30"/>
        </w:numPr>
        <w:ind w:right="-755"/>
        <w:rPr>
          <w:rFonts w:asciiTheme="minorHAnsi" w:hAnsiTheme="minorHAnsi" w:cstheme="minorHAnsi"/>
          <w:sz w:val="26"/>
          <w:szCs w:val="26"/>
        </w:rPr>
      </w:pPr>
      <w:r w:rsidRPr="007930BA">
        <w:rPr>
          <w:rFonts w:asciiTheme="minorHAnsi" w:hAnsiTheme="minorHAnsi" w:cstheme="minorHAnsi"/>
          <w:b/>
          <w:sz w:val="26"/>
          <w:szCs w:val="26"/>
        </w:rPr>
        <w:t>The right to a fair trial and a fair hearing</w:t>
      </w:r>
      <w:r w:rsidRPr="007930BA">
        <w:rPr>
          <w:rFonts w:asciiTheme="minorHAnsi" w:hAnsiTheme="minorHAnsi" w:cstheme="minorHAnsi"/>
          <w:sz w:val="26"/>
          <w:szCs w:val="26"/>
        </w:rPr>
        <w:t xml:space="preserve"> (Article 6, ECHR)</w:t>
      </w:r>
    </w:p>
    <w:p w14:paraId="20188FC4" w14:textId="7B635A23" w:rsidR="007930BA" w:rsidRDefault="007930BA" w:rsidP="00D13CE5">
      <w:pPr>
        <w:pStyle w:val="Body1"/>
        <w:numPr>
          <w:ilvl w:val="0"/>
          <w:numId w:val="30"/>
        </w:numPr>
        <w:ind w:right="-755"/>
        <w:rPr>
          <w:rFonts w:asciiTheme="minorHAnsi" w:hAnsiTheme="minorHAnsi" w:cstheme="minorHAnsi"/>
          <w:sz w:val="26"/>
          <w:szCs w:val="26"/>
        </w:rPr>
      </w:pPr>
      <w:r w:rsidRPr="007930BA">
        <w:rPr>
          <w:rFonts w:asciiTheme="minorHAnsi" w:hAnsiTheme="minorHAnsi" w:cstheme="minorHAnsi"/>
          <w:b/>
          <w:sz w:val="26"/>
          <w:szCs w:val="26"/>
        </w:rPr>
        <w:t>The right to an effective remedy, including access to justice and reparation</w:t>
      </w:r>
      <w:r w:rsidRPr="007930BA">
        <w:rPr>
          <w:rFonts w:asciiTheme="minorHAnsi" w:hAnsiTheme="minorHAnsi" w:cstheme="minorHAnsi"/>
          <w:sz w:val="26"/>
          <w:szCs w:val="26"/>
        </w:rPr>
        <w:t xml:space="preserve"> (satisfaction, restitution, rehabilitation, compensation and guarantees of non-repetition) (Article 13, ECHR)</w:t>
      </w:r>
    </w:p>
    <w:p w14:paraId="2D85E2FB" w14:textId="77777777" w:rsidR="00D13CE5" w:rsidRPr="00D13CE5" w:rsidRDefault="00D13CE5" w:rsidP="00D13CE5">
      <w:pPr>
        <w:pStyle w:val="Body1"/>
        <w:ind w:left="153" w:right="-755"/>
        <w:rPr>
          <w:rFonts w:asciiTheme="minorHAnsi" w:hAnsiTheme="minorHAnsi" w:cstheme="minorHAnsi"/>
          <w:sz w:val="26"/>
          <w:szCs w:val="26"/>
        </w:rPr>
      </w:pPr>
    </w:p>
    <w:p w14:paraId="3CDFFF90" w14:textId="72548937" w:rsidR="00012E31" w:rsidRDefault="00012E31" w:rsidP="007930BA">
      <w:pPr>
        <w:pStyle w:val="Body1"/>
        <w:ind w:left="-567" w:right="-755"/>
        <w:rPr>
          <w:rFonts w:asciiTheme="minorHAnsi" w:hAnsiTheme="minorHAnsi" w:cstheme="minorHAnsi"/>
          <w:b/>
          <w:sz w:val="26"/>
          <w:szCs w:val="26"/>
        </w:rPr>
      </w:pPr>
      <w:r>
        <w:rPr>
          <w:rFonts w:asciiTheme="minorHAnsi" w:hAnsiTheme="minorHAnsi" w:cstheme="minorHAnsi"/>
          <w:sz w:val="26"/>
          <w:szCs w:val="26"/>
        </w:rPr>
        <w:t>Within recent UN Treaty reviews –recommendations with regard to</w:t>
      </w:r>
      <w:r w:rsidRPr="00D13CE5">
        <w:rPr>
          <w:rFonts w:asciiTheme="minorHAnsi" w:hAnsiTheme="minorHAnsi" w:cstheme="minorHAnsi"/>
          <w:sz w:val="26"/>
          <w:szCs w:val="26"/>
        </w:rPr>
        <w:t xml:space="preserve"> </w:t>
      </w:r>
      <w:r>
        <w:rPr>
          <w:rFonts w:asciiTheme="minorHAnsi" w:hAnsiTheme="minorHAnsi" w:cstheme="minorHAnsi"/>
          <w:sz w:val="26"/>
          <w:szCs w:val="26"/>
        </w:rPr>
        <w:t>justice &amp; safety</w:t>
      </w:r>
      <w:r w:rsidRPr="00D13CE5">
        <w:rPr>
          <w:rFonts w:asciiTheme="minorHAnsi" w:hAnsiTheme="minorHAnsi" w:cstheme="minorHAnsi"/>
          <w:sz w:val="26"/>
          <w:szCs w:val="26"/>
        </w:rPr>
        <w:t xml:space="preserve">, international human rights bodies have </w:t>
      </w:r>
      <w:r w:rsidR="00410518">
        <w:rPr>
          <w:rFonts w:asciiTheme="minorHAnsi" w:hAnsiTheme="minorHAnsi" w:cstheme="minorHAnsi"/>
          <w:sz w:val="26"/>
          <w:szCs w:val="26"/>
        </w:rPr>
        <w:t>raised the following issues with the UK to resolve:</w:t>
      </w:r>
      <w:r w:rsidRPr="00D13CE5">
        <w:rPr>
          <w:rFonts w:asciiTheme="minorHAnsi" w:hAnsiTheme="minorHAnsi" w:cstheme="minorHAnsi"/>
          <w:sz w:val="26"/>
          <w:szCs w:val="26"/>
        </w:rPr>
        <w:t xml:space="preserve"> </w:t>
      </w:r>
    </w:p>
    <w:p w14:paraId="41D38965" w14:textId="4EC02889" w:rsidR="007930BA" w:rsidRPr="007930BA" w:rsidRDefault="007930BA" w:rsidP="007930BA">
      <w:pPr>
        <w:pStyle w:val="Body1"/>
        <w:ind w:left="-567" w:right="-755"/>
        <w:rPr>
          <w:rFonts w:asciiTheme="minorHAnsi" w:hAnsiTheme="minorHAnsi" w:cstheme="minorHAnsi"/>
          <w:b/>
          <w:sz w:val="26"/>
          <w:szCs w:val="26"/>
        </w:rPr>
      </w:pPr>
      <w:r w:rsidRPr="007930BA">
        <w:rPr>
          <w:rFonts w:asciiTheme="minorHAnsi" w:hAnsiTheme="minorHAnsi" w:cstheme="minorHAnsi"/>
          <w:b/>
          <w:sz w:val="26"/>
          <w:szCs w:val="26"/>
        </w:rPr>
        <w:t>Children</w:t>
      </w:r>
    </w:p>
    <w:p w14:paraId="6B4AC2E0" w14:textId="44E19C5B" w:rsidR="007930BA" w:rsidRPr="007930BA" w:rsidRDefault="00012E31" w:rsidP="007930BA">
      <w:pPr>
        <w:pStyle w:val="bullet"/>
        <w:numPr>
          <w:ilvl w:val="0"/>
          <w:numId w:val="29"/>
        </w:numPr>
        <w:autoSpaceDE/>
        <w:autoSpaceDN/>
        <w:adjustRightInd/>
        <w:ind w:right="-755"/>
        <w:contextualSpacing w:val="0"/>
        <w:outlineLvl w:val="0"/>
        <w:rPr>
          <w:sz w:val="26"/>
          <w:szCs w:val="26"/>
        </w:rPr>
      </w:pPr>
      <w:r>
        <w:rPr>
          <w:sz w:val="26"/>
          <w:szCs w:val="26"/>
        </w:rPr>
        <w:t>Protection</w:t>
      </w:r>
      <w:r w:rsidR="007930BA" w:rsidRPr="007930BA">
        <w:rPr>
          <w:sz w:val="26"/>
          <w:szCs w:val="26"/>
        </w:rPr>
        <w:t xml:space="preserve"> of children from all forms of violence (CRC 2016; CAT 2019); </w:t>
      </w:r>
    </w:p>
    <w:p w14:paraId="2E230DC0" w14:textId="77777777" w:rsidR="007930BA" w:rsidRPr="007930BA" w:rsidRDefault="007930BA" w:rsidP="007930BA">
      <w:pPr>
        <w:pStyle w:val="bullet"/>
        <w:numPr>
          <w:ilvl w:val="0"/>
          <w:numId w:val="29"/>
        </w:numPr>
        <w:autoSpaceDE/>
        <w:autoSpaceDN/>
        <w:adjustRightInd/>
        <w:ind w:right="-755"/>
        <w:contextualSpacing w:val="0"/>
        <w:outlineLvl w:val="0"/>
        <w:rPr>
          <w:sz w:val="26"/>
          <w:szCs w:val="26"/>
        </w:rPr>
      </w:pPr>
      <w:r w:rsidRPr="007930BA">
        <w:rPr>
          <w:sz w:val="26"/>
          <w:szCs w:val="26"/>
        </w:rPr>
        <w:t>Take into account the best interests of the child as a primary consideration when sentencing parents, avoiding, as far as possible, sentences for parents that lead to their being separated from their children (CRC 2016)</w:t>
      </w:r>
    </w:p>
    <w:p w14:paraId="11D35AB1" w14:textId="77777777" w:rsidR="007930BA" w:rsidRPr="007930BA" w:rsidRDefault="007930BA" w:rsidP="007930BA">
      <w:pPr>
        <w:pStyle w:val="bullet"/>
        <w:numPr>
          <w:ilvl w:val="0"/>
          <w:numId w:val="29"/>
        </w:numPr>
        <w:autoSpaceDE/>
        <w:autoSpaceDN/>
        <w:adjustRightInd/>
        <w:ind w:right="-755"/>
        <w:contextualSpacing w:val="0"/>
        <w:outlineLvl w:val="0"/>
        <w:rPr>
          <w:sz w:val="26"/>
          <w:szCs w:val="26"/>
        </w:rPr>
      </w:pPr>
      <w:r w:rsidRPr="007930BA">
        <w:rPr>
          <w:sz w:val="26"/>
          <w:szCs w:val="26"/>
        </w:rPr>
        <w:t>With regard to the detention of children - establish the statutory principle that detention should be used as a measure of last resort (CRC 2016) and ensure that child detainees are separated from adults in all detention settings (CAT 2019)</w:t>
      </w:r>
    </w:p>
    <w:p w14:paraId="744AE6E7" w14:textId="77777777" w:rsidR="007930BA" w:rsidRPr="007930BA" w:rsidRDefault="007930BA" w:rsidP="007930BA">
      <w:pPr>
        <w:pStyle w:val="bullet"/>
        <w:numPr>
          <w:ilvl w:val="0"/>
          <w:numId w:val="29"/>
        </w:numPr>
        <w:autoSpaceDE/>
        <w:autoSpaceDN/>
        <w:adjustRightInd/>
        <w:ind w:right="-755"/>
        <w:contextualSpacing w:val="0"/>
        <w:outlineLvl w:val="0"/>
        <w:rPr>
          <w:sz w:val="26"/>
          <w:szCs w:val="26"/>
        </w:rPr>
      </w:pPr>
      <w:r w:rsidRPr="007930BA">
        <w:rPr>
          <w:sz w:val="26"/>
          <w:szCs w:val="26"/>
        </w:rPr>
        <w:t>Access to education and health services, including mental health services, is insufficient for children in custody (CRC 2016)</w:t>
      </w:r>
    </w:p>
    <w:p w14:paraId="78892B5E" w14:textId="77777777" w:rsidR="007930BA" w:rsidRPr="007930BA" w:rsidRDefault="007930BA" w:rsidP="007930BA">
      <w:pPr>
        <w:pStyle w:val="bullet"/>
        <w:numPr>
          <w:ilvl w:val="0"/>
          <w:numId w:val="29"/>
        </w:numPr>
        <w:autoSpaceDE/>
        <w:autoSpaceDN/>
        <w:adjustRightInd/>
        <w:ind w:right="-755"/>
        <w:contextualSpacing w:val="0"/>
        <w:outlineLvl w:val="0"/>
        <w:rPr>
          <w:sz w:val="26"/>
          <w:szCs w:val="26"/>
        </w:rPr>
      </w:pPr>
      <w:r w:rsidRPr="007930BA">
        <w:rPr>
          <w:sz w:val="26"/>
          <w:szCs w:val="26"/>
        </w:rPr>
        <w:t>With reports about children, men and women being inappropriately transported together in the same prison vehicles - Prohibit the transport of prisoners in any way that subjects them to unnecessary physical risk of abuse in violation of the Convention (CAT 2019)</w:t>
      </w:r>
    </w:p>
    <w:p w14:paraId="4151B44D" w14:textId="77777777" w:rsidR="007930BA" w:rsidRPr="007930BA" w:rsidRDefault="007930BA" w:rsidP="007930BA">
      <w:pPr>
        <w:pStyle w:val="bullet"/>
        <w:numPr>
          <w:ilvl w:val="0"/>
          <w:numId w:val="29"/>
        </w:numPr>
        <w:autoSpaceDE/>
        <w:autoSpaceDN/>
        <w:adjustRightInd/>
        <w:ind w:right="-755"/>
        <w:contextualSpacing w:val="0"/>
        <w:outlineLvl w:val="0"/>
        <w:rPr>
          <w:sz w:val="26"/>
          <w:szCs w:val="26"/>
        </w:rPr>
      </w:pPr>
      <w:r w:rsidRPr="007930BA">
        <w:rPr>
          <w:sz w:val="26"/>
          <w:szCs w:val="26"/>
        </w:rPr>
        <w:lastRenderedPageBreak/>
        <w:t>Abolish all methods of restraint against children for disciplinary purposes in all institutional settings, and ban the use of any technique designed to inflict pain on children (CAT 2019; CRC 2016)</w:t>
      </w:r>
    </w:p>
    <w:p w14:paraId="767ED140" w14:textId="77777777" w:rsidR="007930BA" w:rsidRPr="007930BA" w:rsidRDefault="007930BA" w:rsidP="007930BA">
      <w:pPr>
        <w:pStyle w:val="bullet"/>
        <w:numPr>
          <w:ilvl w:val="0"/>
          <w:numId w:val="29"/>
        </w:numPr>
        <w:autoSpaceDE/>
        <w:autoSpaceDN/>
        <w:adjustRightInd/>
        <w:ind w:right="-755"/>
        <w:contextualSpacing w:val="0"/>
        <w:outlineLvl w:val="0"/>
        <w:rPr>
          <w:sz w:val="26"/>
          <w:szCs w:val="26"/>
        </w:rPr>
      </w:pPr>
      <w:r w:rsidRPr="007930BA">
        <w:rPr>
          <w:sz w:val="26"/>
          <w:szCs w:val="26"/>
        </w:rPr>
        <w:t>In accordance with rules 63 and 64 of the United Nations Rules for the Protection of Juveniles Deprived of their Liberty (General Assembly resolution 45/113, annex) - Ensure that restraint is used against children exclusively to prevent harm to the child or others and only as a last resort (CAT 2019; CRC 2016); for children and young persons with disabilities (CRPD 2017).</w:t>
      </w:r>
    </w:p>
    <w:p w14:paraId="7A2E77F0" w14:textId="77777777" w:rsidR="007930BA" w:rsidRPr="007930BA" w:rsidRDefault="007930BA" w:rsidP="007930BA">
      <w:pPr>
        <w:pStyle w:val="bullet"/>
        <w:numPr>
          <w:ilvl w:val="0"/>
          <w:numId w:val="29"/>
        </w:numPr>
        <w:autoSpaceDE/>
        <w:autoSpaceDN/>
        <w:adjustRightInd/>
        <w:ind w:right="-755"/>
        <w:contextualSpacing w:val="0"/>
        <w:outlineLvl w:val="0"/>
        <w:rPr>
          <w:sz w:val="26"/>
          <w:szCs w:val="26"/>
        </w:rPr>
      </w:pPr>
      <w:r w:rsidRPr="007930BA">
        <w:rPr>
          <w:sz w:val="26"/>
          <w:szCs w:val="26"/>
        </w:rPr>
        <w:t>Immediately remove all children from solitary confinement, prohibit the use of solitary confinement in all circumstances and regularly inspect the use of segregation and isolation in child detention facilities (CAT 2019; CRC 2016)</w:t>
      </w:r>
    </w:p>
    <w:p w14:paraId="63BC1D68" w14:textId="77777777" w:rsidR="007930BA" w:rsidRPr="007930BA" w:rsidRDefault="007930BA" w:rsidP="007930BA">
      <w:pPr>
        <w:pStyle w:val="bullet"/>
        <w:numPr>
          <w:ilvl w:val="0"/>
          <w:numId w:val="0"/>
        </w:numPr>
        <w:ind w:left="153"/>
        <w:rPr>
          <w:sz w:val="26"/>
          <w:szCs w:val="26"/>
        </w:rPr>
      </w:pPr>
    </w:p>
    <w:p w14:paraId="42C11C49" w14:textId="77777777" w:rsidR="007930BA" w:rsidRPr="007930BA" w:rsidRDefault="007930BA" w:rsidP="007930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right="-755"/>
        <w:rPr>
          <w:b/>
          <w:sz w:val="26"/>
          <w:szCs w:val="26"/>
        </w:rPr>
      </w:pPr>
      <w:r w:rsidRPr="007930BA">
        <w:rPr>
          <w:b/>
          <w:sz w:val="26"/>
          <w:szCs w:val="26"/>
        </w:rPr>
        <w:t>Conditions of detention, including overcrowding and safety:</w:t>
      </w:r>
    </w:p>
    <w:p w14:paraId="0566FFE1" w14:textId="77777777" w:rsidR="007930BA" w:rsidRPr="007930BA" w:rsidRDefault="007930BA" w:rsidP="007930BA">
      <w:pPr>
        <w:pStyle w:val="bullet"/>
        <w:numPr>
          <w:ilvl w:val="0"/>
          <w:numId w:val="29"/>
        </w:numPr>
        <w:autoSpaceDE/>
        <w:autoSpaceDN/>
        <w:adjustRightInd/>
        <w:ind w:right="-755"/>
        <w:contextualSpacing w:val="0"/>
        <w:outlineLvl w:val="0"/>
        <w:rPr>
          <w:sz w:val="26"/>
          <w:szCs w:val="26"/>
        </w:rPr>
      </w:pPr>
      <w:r w:rsidRPr="007930BA">
        <w:rPr>
          <w:sz w:val="26"/>
          <w:szCs w:val="26"/>
        </w:rPr>
        <w:t>Continue to improve conditions of detention and alleviate overcrowding, including through the application of non-custodial measures (CAT 2019; UPR 2017); with attention to the United Nations Standard Minimum Rules for Non-custodial Measures (the Tokyo Rules) and the United Nations Rules for the Treatment of Women Prisoners and Non-custodial Measures for Women Offenders (the Bangkok Rules) (CAT 2019)</w:t>
      </w:r>
    </w:p>
    <w:p w14:paraId="5B7308AB" w14:textId="77777777" w:rsidR="007930BA" w:rsidRPr="007930BA" w:rsidRDefault="007930BA" w:rsidP="007930BA">
      <w:pPr>
        <w:pStyle w:val="bullet"/>
        <w:numPr>
          <w:ilvl w:val="0"/>
          <w:numId w:val="29"/>
        </w:numPr>
        <w:autoSpaceDE/>
        <w:autoSpaceDN/>
        <w:adjustRightInd/>
        <w:ind w:right="-755"/>
        <w:contextualSpacing w:val="0"/>
        <w:outlineLvl w:val="0"/>
        <w:rPr>
          <w:sz w:val="26"/>
          <w:szCs w:val="26"/>
        </w:rPr>
      </w:pPr>
      <w:r w:rsidRPr="007930BA">
        <w:rPr>
          <w:sz w:val="26"/>
          <w:szCs w:val="26"/>
        </w:rPr>
        <w:t>Adherence to international standards for respect for detainees’ rights and the conditions of detention (UPR 2017)</w:t>
      </w:r>
    </w:p>
    <w:p w14:paraId="67206F38" w14:textId="77777777" w:rsidR="007930BA" w:rsidRPr="007930BA" w:rsidRDefault="007930BA" w:rsidP="007930BA">
      <w:pPr>
        <w:pStyle w:val="bullet"/>
        <w:numPr>
          <w:ilvl w:val="0"/>
          <w:numId w:val="29"/>
        </w:numPr>
        <w:autoSpaceDE/>
        <w:autoSpaceDN/>
        <w:adjustRightInd/>
        <w:ind w:right="-755"/>
        <w:contextualSpacing w:val="0"/>
        <w:outlineLvl w:val="0"/>
        <w:rPr>
          <w:sz w:val="26"/>
          <w:szCs w:val="26"/>
        </w:rPr>
      </w:pPr>
      <w:r w:rsidRPr="007930BA">
        <w:rPr>
          <w:sz w:val="26"/>
          <w:szCs w:val="26"/>
        </w:rPr>
        <w:t xml:space="preserve">Improve prisoner safety; Initiate a prison reform plan to improve the deteriorating conditions in prisons, including addressing the increase in homicides and assaults (UPR 2017) </w:t>
      </w:r>
    </w:p>
    <w:p w14:paraId="6257B526" w14:textId="77777777" w:rsidR="007930BA" w:rsidRPr="007930BA" w:rsidRDefault="007930BA" w:rsidP="007930BA">
      <w:pPr>
        <w:pStyle w:val="bullet"/>
        <w:numPr>
          <w:ilvl w:val="0"/>
          <w:numId w:val="29"/>
        </w:numPr>
        <w:autoSpaceDE/>
        <w:autoSpaceDN/>
        <w:adjustRightInd/>
        <w:ind w:right="-755"/>
        <w:contextualSpacing w:val="0"/>
        <w:outlineLvl w:val="0"/>
        <w:rPr>
          <w:sz w:val="26"/>
          <w:szCs w:val="26"/>
        </w:rPr>
      </w:pPr>
      <w:r w:rsidRPr="007930BA">
        <w:rPr>
          <w:sz w:val="26"/>
          <w:szCs w:val="26"/>
        </w:rPr>
        <w:t>Investigate all incidents of violence in places of detention and ensure that prison officials are held accountable in cases where they fail to take reasonable measures to prevent and respond to such violence.  (CAT 2019)</w:t>
      </w:r>
    </w:p>
    <w:p w14:paraId="59CD4BAB" w14:textId="77777777" w:rsidR="007930BA" w:rsidRPr="007930BA" w:rsidRDefault="007930BA" w:rsidP="007930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right="-755"/>
        <w:rPr>
          <w:b/>
          <w:sz w:val="26"/>
          <w:szCs w:val="26"/>
        </w:rPr>
      </w:pPr>
    </w:p>
    <w:p w14:paraId="33DCC94C" w14:textId="77777777" w:rsidR="007930BA" w:rsidRPr="007930BA" w:rsidRDefault="007930BA" w:rsidP="007930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right="-755"/>
        <w:rPr>
          <w:b/>
          <w:sz w:val="26"/>
          <w:szCs w:val="26"/>
        </w:rPr>
      </w:pPr>
      <w:r w:rsidRPr="007930BA">
        <w:rPr>
          <w:b/>
          <w:sz w:val="26"/>
          <w:szCs w:val="26"/>
        </w:rPr>
        <w:t>Reducing prison population and alternatives to custody:</w:t>
      </w:r>
    </w:p>
    <w:p w14:paraId="38232AD9" w14:textId="77777777" w:rsidR="007930BA" w:rsidRPr="007930BA" w:rsidRDefault="007930BA" w:rsidP="007930BA">
      <w:pPr>
        <w:pStyle w:val="bullet"/>
        <w:numPr>
          <w:ilvl w:val="0"/>
          <w:numId w:val="29"/>
        </w:numPr>
        <w:autoSpaceDE/>
        <w:autoSpaceDN/>
        <w:adjustRightInd/>
        <w:ind w:right="-755"/>
        <w:contextualSpacing w:val="0"/>
        <w:outlineLvl w:val="0"/>
        <w:rPr>
          <w:sz w:val="26"/>
          <w:szCs w:val="26"/>
        </w:rPr>
      </w:pPr>
      <w:r w:rsidRPr="007930BA">
        <w:rPr>
          <w:sz w:val="26"/>
          <w:szCs w:val="26"/>
        </w:rPr>
        <w:t>Take concrete measures to reduce the current and future prison population (UPR 2017)</w:t>
      </w:r>
    </w:p>
    <w:p w14:paraId="382F9030" w14:textId="77777777" w:rsidR="007930BA" w:rsidRPr="007930BA" w:rsidRDefault="007930BA" w:rsidP="007930BA">
      <w:pPr>
        <w:pStyle w:val="bullet"/>
        <w:numPr>
          <w:ilvl w:val="0"/>
          <w:numId w:val="29"/>
        </w:numPr>
        <w:autoSpaceDE/>
        <w:autoSpaceDN/>
        <w:adjustRightInd/>
        <w:ind w:right="-755"/>
        <w:contextualSpacing w:val="0"/>
        <w:outlineLvl w:val="0"/>
        <w:rPr>
          <w:sz w:val="26"/>
          <w:szCs w:val="26"/>
        </w:rPr>
      </w:pPr>
      <w:r w:rsidRPr="007930BA">
        <w:rPr>
          <w:sz w:val="26"/>
          <w:szCs w:val="26"/>
        </w:rPr>
        <w:t xml:space="preserve">Develop alternative sentencing and custodial strategies, including community interventions and services, for women convicted of minor offences (CEDAW 2019) </w:t>
      </w:r>
    </w:p>
    <w:p w14:paraId="13BB549C" w14:textId="77777777" w:rsidR="007930BA" w:rsidRPr="007930BA" w:rsidRDefault="007930BA" w:rsidP="007930BA">
      <w:pPr>
        <w:pStyle w:val="bullet"/>
        <w:numPr>
          <w:ilvl w:val="0"/>
          <w:numId w:val="29"/>
        </w:numPr>
        <w:autoSpaceDE/>
        <w:autoSpaceDN/>
        <w:adjustRightInd/>
        <w:ind w:right="-755"/>
        <w:contextualSpacing w:val="0"/>
        <w:outlineLvl w:val="0"/>
        <w:rPr>
          <w:sz w:val="26"/>
          <w:szCs w:val="26"/>
        </w:rPr>
      </w:pPr>
      <w:r w:rsidRPr="007930BA">
        <w:rPr>
          <w:sz w:val="26"/>
          <w:szCs w:val="26"/>
        </w:rPr>
        <w:t>Introduced and allocate sufficient resources to effectively implement a female offender strategy (CEDAW 2019)</w:t>
      </w:r>
    </w:p>
    <w:p w14:paraId="14A9AFFA" w14:textId="77777777" w:rsidR="007930BA" w:rsidRPr="007930BA" w:rsidRDefault="007930BA" w:rsidP="007930BA">
      <w:pPr>
        <w:ind w:left="-567" w:right="-755"/>
        <w:rPr>
          <w:sz w:val="26"/>
          <w:szCs w:val="26"/>
        </w:rPr>
      </w:pPr>
    </w:p>
    <w:p w14:paraId="4CD0D25A" w14:textId="77777777" w:rsidR="007930BA" w:rsidRPr="007930BA" w:rsidRDefault="007930BA" w:rsidP="007930BA">
      <w:pPr>
        <w:ind w:left="-567" w:right="-755"/>
        <w:rPr>
          <w:b/>
          <w:sz w:val="26"/>
          <w:szCs w:val="26"/>
        </w:rPr>
      </w:pPr>
      <w:r w:rsidRPr="007930BA">
        <w:rPr>
          <w:b/>
          <w:sz w:val="26"/>
          <w:szCs w:val="26"/>
        </w:rPr>
        <w:t>Restraint</w:t>
      </w:r>
    </w:p>
    <w:p w14:paraId="022299F2" w14:textId="77777777" w:rsidR="007930BA" w:rsidRPr="007930BA" w:rsidRDefault="007930BA" w:rsidP="007930BA">
      <w:pPr>
        <w:pStyle w:val="bullet"/>
        <w:numPr>
          <w:ilvl w:val="0"/>
          <w:numId w:val="29"/>
        </w:numPr>
        <w:autoSpaceDE/>
        <w:autoSpaceDN/>
        <w:adjustRightInd/>
        <w:ind w:right="-755"/>
        <w:contextualSpacing w:val="0"/>
        <w:outlineLvl w:val="0"/>
        <w:rPr>
          <w:sz w:val="26"/>
          <w:szCs w:val="26"/>
        </w:rPr>
      </w:pPr>
      <w:r w:rsidRPr="007930BA">
        <w:rPr>
          <w:sz w:val="26"/>
          <w:szCs w:val="26"/>
        </w:rPr>
        <w:t>Electric discharge weapons should not form part of the equipment of custodial staff in prisons or any other place of deprivation of liberty, including mental health settings (CAT 2019)</w:t>
      </w:r>
    </w:p>
    <w:p w14:paraId="047884D3" w14:textId="77777777" w:rsidR="007930BA" w:rsidRPr="007930BA" w:rsidRDefault="007930BA" w:rsidP="007930BA">
      <w:pPr>
        <w:pStyle w:val="bullet"/>
        <w:numPr>
          <w:ilvl w:val="0"/>
          <w:numId w:val="29"/>
        </w:numPr>
        <w:autoSpaceDE/>
        <w:autoSpaceDN/>
        <w:adjustRightInd/>
        <w:ind w:right="-755"/>
        <w:contextualSpacing w:val="0"/>
        <w:outlineLvl w:val="0"/>
        <w:rPr>
          <w:sz w:val="26"/>
          <w:szCs w:val="26"/>
        </w:rPr>
      </w:pPr>
      <w:r w:rsidRPr="007930BA">
        <w:rPr>
          <w:sz w:val="26"/>
          <w:szCs w:val="26"/>
        </w:rPr>
        <w:t>Concern over continued use and lack of unified State party strategy to review the use of physical, mechanical and chemical restraint, including the use of Taser guns and similar weapons on persons with disabilities that affects persons with psychosocial disabilities, in prisons, the youth justice system (CRPD 2017)</w:t>
      </w:r>
    </w:p>
    <w:p w14:paraId="1E8C5711" w14:textId="77777777" w:rsidR="007930BA" w:rsidRPr="007930BA" w:rsidRDefault="007930BA" w:rsidP="007930BA">
      <w:pPr>
        <w:ind w:left="-567" w:right="-755"/>
        <w:rPr>
          <w:b/>
          <w:sz w:val="26"/>
          <w:szCs w:val="26"/>
        </w:rPr>
      </w:pPr>
    </w:p>
    <w:p w14:paraId="08F4EB6E" w14:textId="77777777" w:rsidR="007930BA" w:rsidRPr="007930BA" w:rsidRDefault="007930BA" w:rsidP="007930BA">
      <w:pPr>
        <w:ind w:left="-567" w:right="-755"/>
        <w:rPr>
          <w:b/>
          <w:sz w:val="26"/>
          <w:szCs w:val="26"/>
        </w:rPr>
      </w:pPr>
      <w:r w:rsidRPr="007930BA">
        <w:rPr>
          <w:b/>
          <w:sz w:val="26"/>
          <w:szCs w:val="26"/>
        </w:rPr>
        <w:t>Staff training requirements</w:t>
      </w:r>
    </w:p>
    <w:p w14:paraId="36F89166" w14:textId="77777777" w:rsidR="007930BA" w:rsidRPr="007930BA" w:rsidRDefault="007930BA" w:rsidP="007930BA">
      <w:pPr>
        <w:pStyle w:val="bullet"/>
        <w:numPr>
          <w:ilvl w:val="0"/>
          <w:numId w:val="29"/>
        </w:numPr>
        <w:autoSpaceDE/>
        <w:autoSpaceDN/>
        <w:adjustRightInd/>
        <w:ind w:right="-755"/>
        <w:contextualSpacing w:val="0"/>
        <w:outlineLvl w:val="0"/>
        <w:rPr>
          <w:sz w:val="26"/>
          <w:szCs w:val="26"/>
        </w:rPr>
      </w:pPr>
      <w:r w:rsidRPr="007930BA">
        <w:rPr>
          <w:sz w:val="26"/>
          <w:szCs w:val="26"/>
        </w:rPr>
        <w:lastRenderedPageBreak/>
        <w:t>Adopt appropriate measures [including training] to eradicate the use of restraint for reasons related to disability within all settings, and prevent the use of Taser guns against persons with disabilities, as well as practices of segregation and isolation that may amount to torture or inhuman or degrading treatment (CRPD 2017)</w:t>
      </w:r>
    </w:p>
    <w:p w14:paraId="78EEBB3F" w14:textId="77777777" w:rsidR="007930BA" w:rsidRPr="007930BA" w:rsidRDefault="007930BA" w:rsidP="007930BA">
      <w:pPr>
        <w:pStyle w:val="bullet"/>
        <w:numPr>
          <w:ilvl w:val="0"/>
          <w:numId w:val="29"/>
        </w:numPr>
        <w:autoSpaceDE/>
        <w:autoSpaceDN/>
        <w:adjustRightInd/>
        <w:ind w:right="-755"/>
        <w:contextualSpacing w:val="0"/>
        <w:outlineLvl w:val="0"/>
        <w:rPr>
          <w:sz w:val="26"/>
          <w:szCs w:val="26"/>
        </w:rPr>
      </w:pPr>
      <w:r w:rsidRPr="007930BA">
        <w:rPr>
          <w:sz w:val="26"/>
          <w:szCs w:val="26"/>
        </w:rPr>
        <w:t>Providing adequate training to prison officials on prevention of suicide and self-harm (ICCPR 2015)</w:t>
      </w:r>
    </w:p>
    <w:p w14:paraId="79926974" w14:textId="77777777" w:rsidR="007930BA" w:rsidRPr="007930BA" w:rsidRDefault="007930BA" w:rsidP="007930BA">
      <w:pPr>
        <w:pStyle w:val="bullet"/>
        <w:numPr>
          <w:ilvl w:val="0"/>
          <w:numId w:val="29"/>
        </w:numPr>
        <w:autoSpaceDE/>
        <w:autoSpaceDN/>
        <w:adjustRightInd/>
        <w:ind w:right="-755"/>
        <w:contextualSpacing w:val="0"/>
        <w:outlineLvl w:val="0"/>
        <w:rPr>
          <w:sz w:val="26"/>
          <w:szCs w:val="26"/>
        </w:rPr>
      </w:pPr>
      <w:r w:rsidRPr="007930BA">
        <w:rPr>
          <w:sz w:val="26"/>
          <w:szCs w:val="26"/>
        </w:rPr>
        <w:t>Recruit and train a sufficient number of prison personnel to improve security, reduce violence and ensure the adequate treatment of detainees (CAT 2019; UPR 2017)</w:t>
      </w:r>
    </w:p>
    <w:p w14:paraId="00E473DE" w14:textId="77777777" w:rsidR="007930BA" w:rsidRPr="007930BA" w:rsidRDefault="007930BA" w:rsidP="007930BA">
      <w:pPr>
        <w:pStyle w:val="bullet"/>
        <w:numPr>
          <w:ilvl w:val="0"/>
          <w:numId w:val="29"/>
        </w:numPr>
        <w:autoSpaceDE/>
        <w:autoSpaceDN/>
        <w:adjustRightInd/>
        <w:ind w:right="-755"/>
        <w:contextualSpacing w:val="0"/>
        <w:outlineLvl w:val="0"/>
        <w:rPr>
          <w:sz w:val="26"/>
          <w:szCs w:val="26"/>
        </w:rPr>
      </w:pPr>
      <w:r w:rsidRPr="007930BA">
        <w:rPr>
          <w:sz w:val="26"/>
          <w:szCs w:val="26"/>
        </w:rPr>
        <w:t>Lack of information on evaluations of the impact of human rights training programmes for… prison staff (CAT 2019)</w:t>
      </w:r>
    </w:p>
    <w:p w14:paraId="573DAE57" w14:textId="77777777" w:rsidR="007930BA" w:rsidRPr="007930BA" w:rsidRDefault="007930BA" w:rsidP="007930BA">
      <w:pPr>
        <w:pStyle w:val="bullet"/>
        <w:numPr>
          <w:ilvl w:val="0"/>
          <w:numId w:val="29"/>
        </w:numPr>
        <w:autoSpaceDE/>
        <w:autoSpaceDN/>
        <w:adjustRightInd/>
        <w:ind w:right="-755"/>
        <w:contextualSpacing w:val="0"/>
        <w:outlineLvl w:val="0"/>
        <w:rPr>
          <w:sz w:val="26"/>
          <w:szCs w:val="26"/>
        </w:rPr>
      </w:pPr>
      <w:r w:rsidRPr="007930BA">
        <w:rPr>
          <w:sz w:val="26"/>
          <w:szCs w:val="26"/>
        </w:rPr>
        <w:t>Further develop mandatory training programmes to ensure that all public officials are well acquainted with the provisions of the Convention (CAT 2019)</w:t>
      </w:r>
    </w:p>
    <w:p w14:paraId="74561D44" w14:textId="77777777" w:rsidR="007930BA" w:rsidRPr="007930BA" w:rsidRDefault="007930BA" w:rsidP="007930BA">
      <w:pPr>
        <w:pStyle w:val="bullet"/>
        <w:numPr>
          <w:ilvl w:val="0"/>
          <w:numId w:val="29"/>
        </w:numPr>
        <w:autoSpaceDE/>
        <w:autoSpaceDN/>
        <w:adjustRightInd/>
        <w:ind w:right="-755"/>
        <w:contextualSpacing w:val="0"/>
        <w:outlineLvl w:val="0"/>
        <w:rPr>
          <w:sz w:val="26"/>
          <w:szCs w:val="26"/>
        </w:rPr>
      </w:pPr>
      <w:r w:rsidRPr="007930BA">
        <w:rPr>
          <w:sz w:val="26"/>
          <w:szCs w:val="26"/>
        </w:rPr>
        <w:t>Ensure that all relevant staff are specifically trained to identify cases of torture and ill-treatment, in accordance with the Manual on the Effective Investigation and Documentation of Torture and Other Cruel, Inhuman or Degrading Treatment of Punishment (Istanbul Protocol) (CAT 2019)</w:t>
      </w:r>
    </w:p>
    <w:p w14:paraId="26ADA0F5" w14:textId="77777777" w:rsidR="007930BA" w:rsidRPr="007930BA" w:rsidRDefault="007930BA" w:rsidP="007930BA">
      <w:pPr>
        <w:pStyle w:val="bullet"/>
        <w:numPr>
          <w:ilvl w:val="0"/>
          <w:numId w:val="29"/>
        </w:numPr>
        <w:autoSpaceDE/>
        <w:autoSpaceDN/>
        <w:adjustRightInd/>
        <w:ind w:right="-755"/>
        <w:contextualSpacing w:val="0"/>
        <w:outlineLvl w:val="0"/>
        <w:rPr>
          <w:sz w:val="26"/>
          <w:szCs w:val="26"/>
        </w:rPr>
      </w:pPr>
      <w:r w:rsidRPr="007930BA">
        <w:rPr>
          <w:sz w:val="26"/>
          <w:szCs w:val="26"/>
        </w:rPr>
        <w:t>Improve the training of prison personnel to include statutory training into the identification of potential victims of human trafficking and modern slavery, and continue developing specialized training programmes for support workers and those providing foster care (CAT 2019)</w:t>
      </w:r>
    </w:p>
    <w:p w14:paraId="6E04962A" w14:textId="77777777" w:rsidR="007930BA" w:rsidRPr="007930BA" w:rsidRDefault="007930BA" w:rsidP="007930BA">
      <w:pPr>
        <w:ind w:left="-567" w:right="-755"/>
        <w:rPr>
          <w:b/>
          <w:sz w:val="26"/>
          <w:szCs w:val="26"/>
        </w:rPr>
      </w:pPr>
    </w:p>
    <w:p w14:paraId="4101CE2E" w14:textId="77777777" w:rsidR="007930BA" w:rsidRPr="007930BA" w:rsidRDefault="007930BA" w:rsidP="007930BA">
      <w:pPr>
        <w:ind w:left="-567" w:right="-755"/>
        <w:rPr>
          <w:b/>
          <w:sz w:val="26"/>
          <w:szCs w:val="26"/>
        </w:rPr>
      </w:pPr>
      <w:r w:rsidRPr="007930BA">
        <w:rPr>
          <w:b/>
          <w:sz w:val="26"/>
          <w:szCs w:val="26"/>
        </w:rPr>
        <w:t>Data</w:t>
      </w:r>
    </w:p>
    <w:p w14:paraId="7D4F9D8A" w14:textId="77777777" w:rsidR="007930BA" w:rsidRPr="007930BA" w:rsidRDefault="007930BA" w:rsidP="007930BA">
      <w:pPr>
        <w:pStyle w:val="bullet"/>
        <w:numPr>
          <w:ilvl w:val="0"/>
          <w:numId w:val="29"/>
        </w:numPr>
        <w:autoSpaceDE/>
        <w:autoSpaceDN/>
        <w:adjustRightInd/>
        <w:ind w:right="-755"/>
        <w:contextualSpacing w:val="0"/>
        <w:outlineLvl w:val="0"/>
        <w:rPr>
          <w:sz w:val="26"/>
          <w:szCs w:val="26"/>
        </w:rPr>
      </w:pPr>
      <w:r w:rsidRPr="007930BA">
        <w:rPr>
          <w:sz w:val="26"/>
          <w:szCs w:val="26"/>
        </w:rPr>
        <w:t>Compile detailed data on suicides among persons deprived of their liberty and assess the effectiveness of prevention and risk identification strategies and programmes (CAT 2019)</w:t>
      </w:r>
    </w:p>
    <w:p w14:paraId="725BA75F" w14:textId="77777777" w:rsidR="007930BA" w:rsidRPr="007930BA" w:rsidRDefault="007930BA" w:rsidP="007930BA">
      <w:pPr>
        <w:pStyle w:val="bullet"/>
        <w:numPr>
          <w:ilvl w:val="0"/>
          <w:numId w:val="29"/>
        </w:numPr>
        <w:autoSpaceDE/>
        <w:autoSpaceDN/>
        <w:adjustRightInd/>
        <w:ind w:right="-755"/>
        <w:contextualSpacing w:val="0"/>
        <w:outlineLvl w:val="0"/>
        <w:rPr>
          <w:sz w:val="26"/>
          <w:szCs w:val="26"/>
        </w:rPr>
      </w:pPr>
      <w:r w:rsidRPr="007930BA">
        <w:rPr>
          <w:sz w:val="26"/>
          <w:szCs w:val="26"/>
        </w:rPr>
        <w:t>Provide comprehensive information about criminal investigations and prosecutions of State officials into allegations of misconduct, the sentences imposed on offenders, or an indication of whether the alleged perpetrators of those acts were removed from public service (arts. 2, 12, 13 and 16). (CAT 2019)</w:t>
      </w:r>
    </w:p>
    <w:p w14:paraId="4130EB9C" w14:textId="77777777" w:rsidR="007930BA" w:rsidRPr="007930BA" w:rsidRDefault="007930BA" w:rsidP="007930BA">
      <w:pPr>
        <w:pStyle w:val="bullet"/>
        <w:numPr>
          <w:ilvl w:val="0"/>
          <w:numId w:val="29"/>
        </w:numPr>
        <w:autoSpaceDE/>
        <w:autoSpaceDN/>
        <w:adjustRightInd/>
        <w:ind w:right="-755"/>
        <w:contextualSpacing w:val="0"/>
        <w:outlineLvl w:val="0"/>
        <w:rPr>
          <w:sz w:val="26"/>
          <w:szCs w:val="26"/>
        </w:rPr>
      </w:pPr>
      <w:r w:rsidRPr="007930BA">
        <w:rPr>
          <w:sz w:val="26"/>
          <w:szCs w:val="26"/>
        </w:rPr>
        <w:t>Routinely to compile and publish comprehensive disaggregated statistical information relevant to all complaints and reports received of torture or ill-treatment (CAT 2019).</w:t>
      </w:r>
    </w:p>
    <w:p w14:paraId="0CCBA281" w14:textId="77777777" w:rsidR="007930BA" w:rsidRPr="007930BA" w:rsidRDefault="007930BA" w:rsidP="007930BA">
      <w:pPr>
        <w:pStyle w:val="bullet"/>
        <w:numPr>
          <w:ilvl w:val="0"/>
          <w:numId w:val="29"/>
        </w:numPr>
        <w:autoSpaceDE/>
        <w:autoSpaceDN/>
        <w:adjustRightInd/>
        <w:ind w:right="-755"/>
        <w:contextualSpacing w:val="0"/>
        <w:outlineLvl w:val="0"/>
        <w:rPr>
          <w:sz w:val="26"/>
          <w:szCs w:val="26"/>
        </w:rPr>
      </w:pPr>
      <w:r w:rsidRPr="007930BA">
        <w:rPr>
          <w:sz w:val="26"/>
          <w:szCs w:val="26"/>
        </w:rPr>
        <w:t>Systematically and regularly collect and publish disaggregated data on the use of restraint and other restrictive interventions on children in order to monitor the appropriateness of discipline and behaviour management for children in all settings, including in custody settings (CRC 2016).</w:t>
      </w:r>
    </w:p>
    <w:p w14:paraId="7B25F8BD" w14:textId="77777777" w:rsidR="007930BA" w:rsidRPr="007930BA" w:rsidRDefault="007930BA" w:rsidP="007930BA">
      <w:pPr>
        <w:pStyle w:val="bullet"/>
        <w:numPr>
          <w:ilvl w:val="0"/>
          <w:numId w:val="29"/>
        </w:numPr>
        <w:autoSpaceDE/>
        <w:autoSpaceDN/>
        <w:adjustRightInd/>
        <w:ind w:right="-755"/>
        <w:contextualSpacing w:val="0"/>
        <w:outlineLvl w:val="0"/>
        <w:rPr>
          <w:sz w:val="26"/>
          <w:szCs w:val="26"/>
        </w:rPr>
      </w:pPr>
      <w:r w:rsidRPr="007930BA">
        <w:rPr>
          <w:sz w:val="26"/>
          <w:szCs w:val="26"/>
        </w:rPr>
        <w:t>In line with Goal 17 of the Sustainable Development Goals, increase significantly the availability of high-quality, timely and reliable data disaggregated by, among others, income, sex, age, gender, race, ethnic origin, migratory asylum-seeking and refugee status, disability, geographic location and other characteristics relevant in national contexts, including in all general population surveys and censuses (CRPD 2017)</w:t>
      </w:r>
    </w:p>
    <w:bookmarkEnd w:id="1"/>
    <w:p w14:paraId="7AC46E9B" w14:textId="77777777" w:rsidR="007930BA" w:rsidRPr="007930BA" w:rsidRDefault="007930BA" w:rsidP="007930BA">
      <w:pPr>
        <w:pStyle w:val="Heading1"/>
        <w:ind w:left="-567" w:right="-755"/>
        <w:rPr>
          <w:sz w:val="26"/>
          <w:szCs w:val="26"/>
        </w:rPr>
      </w:pPr>
    </w:p>
    <w:p w14:paraId="4330A6FC" w14:textId="77777777" w:rsidR="00D13CE5" w:rsidRDefault="007930BA" w:rsidP="00D13CE5">
      <w:pPr>
        <w:ind w:left="-426"/>
        <w:rPr>
          <w:sz w:val="26"/>
          <w:szCs w:val="26"/>
        </w:rPr>
      </w:pPr>
      <w:r w:rsidRPr="007930BA">
        <w:rPr>
          <w:sz w:val="26"/>
          <w:szCs w:val="26"/>
        </w:rPr>
        <w:t>The Commission welcomes any questions the Committee may have about the content of this submission.</w:t>
      </w:r>
    </w:p>
    <w:p w14:paraId="52BD7333" w14:textId="5DF961FA" w:rsidR="007930BA" w:rsidRPr="007930BA" w:rsidRDefault="007930BA" w:rsidP="00D13CE5">
      <w:pPr>
        <w:ind w:left="-426"/>
        <w:rPr>
          <w:sz w:val="26"/>
          <w:szCs w:val="26"/>
        </w:rPr>
      </w:pPr>
      <w:r w:rsidRPr="007930BA">
        <w:rPr>
          <w:sz w:val="26"/>
          <w:szCs w:val="26"/>
        </w:rPr>
        <w:t>Ends</w:t>
      </w:r>
    </w:p>
    <w:p w14:paraId="7FC4BC23" w14:textId="0333D5C4" w:rsidR="007930BA" w:rsidRPr="007930BA" w:rsidRDefault="007930BA" w:rsidP="00410518">
      <w:pPr>
        <w:ind w:left="-426" w:right="-188"/>
        <w:rPr>
          <w:sz w:val="28"/>
          <w:szCs w:val="28"/>
        </w:rPr>
      </w:pPr>
      <w:r w:rsidRPr="007930BA">
        <w:rPr>
          <w:sz w:val="26"/>
          <w:szCs w:val="26"/>
        </w:rPr>
        <w:t>Scottish Human Rights Commission</w:t>
      </w:r>
    </w:p>
    <w:sectPr w:rsidR="007930BA" w:rsidRPr="007930BA" w:rsidSect="00410518">
      <w:headerReference w:type="even" r:id="rId17"/>
      <w:headerReference w:type="default" r:id="rId18"/>
      <w:footerReference w:type="even" r:id="rId19"/>
      <w:footerReference w:type="default" r:id="rId20"/>
      <w:headerReference w:type="first" r:id="rId21"/>
      <w:footerReference w:type="first" r:id="rId22"/>
      <w:pgSz w:w="11906" w:h="16838" w:code="9"/>
      <w:pgMar w:top="709" w:right="1440" w:bottom="568"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10417" w14:textId="77777777" w:rsidR="00A241A9" w:rsidRDefault="00A241A9" w:rsidP="00263839">
      <w:r>
        <w:separator/>
      </w:r>
    </w:p>
    <w:p w14:paraId="21E6A991" w14:textId="77777777" w:rsidR="00A241A9" w:rsidRDefault="00A241A9"/>
  </w:endnote>
  <w:endnote w:type="continuationSeparator" w:id="0">
    <w:p w14:paraId="18237327" w14:textId="77777777" w:rsidR="00A241A9" w:rsidRDefault="00A241A9" w:rsidP="00263839">
      <w:r>
        <w:continuationSeparator/>
      </w:r>
    </w:p>
    <w:p w14:paraId="23056F58" w14:textId="77777777" w:rsidR="00A241A9" w:rsidRDefault="00A241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82F9C" w14:textId="77777777" w:rsidR="005D0A79" w:rsidRDefault="005D0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383032"/>
      <w:docPartObj>
        <w:docPartGallery w:val="Page Numbers (Bottom of Page)"/>
        <w:docPartUnique/>
      </w:docPartObj>
    </w:sdtPr>
    <w:sdtEndPr>
      <w:rPr>
        <w:color w:val="7F7F7F" w:themeColor="background1" w:themeShade="7F"/>
        <w:spacing w:val="60"/>
      </w:rPr>
    </w:sdtEndPr>
    <w:sdtContent>
      <w:p w14:paraId="2079AD8D" w14:textId="2E33E7B1" w:rsidR="00D61E84" w:rsidRDefault="00D61E84">
        <w:pPr>
          <w:pStyle w:val="Footer"/>
          <w:pBdr>
            <w:top w:val="single" w:sz="4" w:space="1" w:color="D9D9D9" w:themeColor="background1" w:themeShade="D9"/>
          </w:pBdr>
          <w:jc w:val="right"/>
        </w:pPr>
        <w:r>
          <w:fldChar w:fldCharType="begin"/>
        </w:r>
        <w:r>
          <w:instrText xml:space="preserve"> PAGE   \* MERGEFORMAT </w:instrText>
        </w:r>
        <w:r>
          <w:fldChar w:fldCharType="separate"/>
        </w:r>
        <w:r w:rsidR="006009AF">
          <w:rPr>
            <w:noProof/>
          </w:rPr>
          <w:t>1</w:t>
        </w:r>
        <w:r>
          <w:rPr>
            <w:noProof/>
          </w:rPr>
          <w:fldChar w:fldCharType="end"/>
        </w:r>
        <w:r>
          <w:t xml:space="preserve"> | </w:t>
        </w:r>
        <w:r>
          <w:rPr>
            <w:color w:val="7F7F7F" w:themeColor="background1" w:themeShade="7F"/>
            <w:spacing w:val="60"/>
          </w:rPr>
          <w:t>Page</w:t>
        </w:r>
      </w:p>
    </w:sdtContent>
  </w:sdt>
  <w:p w14:paraId="7703BE7B" w14:textId="77777777" w:rsidR="00D61E84" w:rsidRDefault="00D61E84">
    <w:pPr>
      <w:pStyle w:val="Footer"/>
    </w:pPr>
  </w:p>
  <w:p w14:paraId="65AF60BA" w14:textId="77777777" w:rsidR="00D61E84" w:rsidRDefault="00D61E8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70CB3" w14:textId="77777777" w:rsidR="005D0A79" w:rsidRDefault="005D0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A0AE5" w14:textId="77777777" w:rsidR="00A241A9" w:rsidRDefault="00A241A9" w:rsidP="00263839">
      <w:r>
        <w:separator/>
      </w:r>
    </w:p>
    <w:p w14:paraId="79F0CF0D" w14:textId="77777777" w:rsidR="00A241A9" w:rsidRDefault="00A241A9"/>
  </w:footnote>
  <w:footnote w:type="continuationSeparator" w:id="0">
    <w:p w14:paraId="1DA99B48" w14:textId="77777777" w:rsidR="00A241A9" w:rsidRDefault="00A241A9" w:rsidP="00263839">
      <w:r>
        <w:continuationSeparator/>
      </w:r>
    </w:p>
    <w:p w14:paraId="0EB6D21B" w14:textId="77777777" w:rsidR="00A241A9" w:rsidRDefault="00A241A9"/>
  </w:footnote>
  <w:footnote w:id="1">
    <w:p w14:paraId="2D33E92A" w14:textId="77777777" w:rsidR="006E76E4" w:rsidRPr="006E76E4" w:rsidRDefault="006E76E4" w:rsidP="006E76E4">
      <w:pPr>
        <w:ind w:left="-426"/>
        <w:rPr>
          <w:sz w:val="20"/>
          <w:szCs w:val="20"/>
        </w:rPr>
      </w:pPr>
      <w:r w:rsidRPr="006E76E4">
        <w:rPr>
          <w:rStyle w:val="FootnoteReference"/>
          <w:sz w:val="20"/>
          <w:szCs w:val="20"/>
        </w:rPr>
        <w:footnoteRef/>
      </w:r>
      <w:r w:rsidRPr="006E76E4">
        <w:rPr>
          <w:sz w:val="20"/>
          <w:szCs w:val="20"/>
        </w:rPr>
        <w:t xml:space="preserve"> For other examples see CESCR General Comment No. 4: </w:t>
      </w:r>
      <w:hyperlink r:id="rId1" w:history="1">
        <w:r w:rsidRPr="006E76E4">
          <w:rPr>
            <w:rStyle w:val="Hyperlink"/>
            <w:sz w:val="20"/>
            <w:szCs w:val="20"/>
          </w:rPr>
          <w:t xml:space="preserve">The Right to Adequate Housing (Art. 11 (1) of the Covenant); </w:t>
        </w:r>
      </w:hyperlink>
      <w:r w:rsidRPr="006E76E4">
        <w:rPr>
          <w:sz w:val="20"/>
          <w:szCs w:val="20"/>
        </w:rPr>
        <w:t xml:space="preserve">CESCR General Comment No. 13: </w:t>
      </w:r>
      <w:hyperlink r:id="rId2" w:history="1">
        <w:r w:rsidRPr="006E76E4">
          <w:rPr>
            <w:rStyle w:val="Hyperlink"/>
            <w:sz w:val="20"/>
            <w:szCs w:val="20"/>
          </w:rPr>
          <w:t xml:space="preserve">The Right to Education (Art. 13) </w:t>
        </w:r>
      </w:hyperlink>
      <w:r w:rsidRPr="006E76E4">
        <w:rPr>
          <w:sz w:val="20"/>
          <w:szCs w:val="20"/>
        </w:rPr>
        <w:t xml:space="preserve">; CESCR General Comment No. 14: </w:t>
      </w:r>
      <w:hyperlink r:id="rId3" w:history="1">
        <w:r w:rsidRPr="006E76E4">
          <w:rPr>
            <w:rStyle w:val="Hyperlink"/>
            <w:sz w:val="20"/>
            <w:szCs w:val="20"/>
          </w:rPr>
          <w:t>The Right to the Highest Attainable Standard of Health (Art. 12)</w:t>
        </w:r>
      </w:hyperlink>
      <w:r w:rsidRPr="006E76E4">
        <w:rPr>
          <w:sz w:val="20"/>
          <w:szCs w:val="20"/>
        </w:rPr>
        <w:t xml:space="preserve">; CESCR General Comment No. 19: </w:t>
      </w:r>
      <w:hyperlink r:id="rId4" w:history="1">
        <w:r w:rsidRPr="006E76E4">
          <w:rPr>
            <w:rStyle w:val="Hyperlink"/>
            <w:sz w:val="20"/>
            <w:szCs w:val="20"/>
          </w:rPr>
          <w:t>The right to social security (art. 9)</w:t>
        </w:r>
      </w:hyperlink>
    </w:p>
  </w:footnote>
  <w:footnote w:id="2">
    <w:p w14:paraId="283A4FC6" w14:textId="77777777" w:rsidR="006E76E4" w:rsidRPr="006E76E4" w:rsidRDefault="006E76E4" w:rsidP="006E76E4">
      <w:pPr>
        <w:pStyle w:val="FootnoteText"/>
        <w:ind w:left="-426" w:right="-472"/>
      </w:pPr>
      <w:r w:rsidRPr="006E76E4">
        <w:rPr>
          <w:rStyle w:val="FootnoteReference"/>
        </w:rPr>
        <w:footnoteRef/>
      </w:r>
      <w:r w:rsidRPr="006E76E4">
        <w:t xml:space="preserve"> Committee on Economic, Social and Cultural Rights, General Comment 2, International technical assistance measures (Fourth session, 1990), U.N. Doc. E/1990/23, annex III at 86 (1990) &amp; Committee on Economic, Social and Cultural Rights, General Comment 3, The nature of States parties' obligations (Fifth session, 1990), U.N. Doc. E/1991/23, annex III at 86 (1991) &amp; Committee on Economic, Social and Cultural Rights, General Comment 15, The right to water (Twenty-ninth session, 2003), U.N. Doc. E/C.12/2002/11 (2002) &amp;Committee on Economic, Social and Cultural Rights, General Comment 17, the right of everyone to benefit from the protection of the moral and material interests resulting from any scientific, literary or artistic production of which he or she is the author (article 15, paragraph 1 (c), of the Covenant), U.N. Doc. E/C.12/GC/17 (2006) &amp; Committee on Economic, Social and Cultural Rights, General Comment No. 20, Non-Discrimination in Economic, Social and Cultural Rights (art. 2, para. 2) U.N. Doc. E/C.12/GC/20 (2009) &amp; Committee on Economic, Social and Cultural Rights, General comment No. 21, Right of everyone to take part in cultural life (art. 15, para. 1 (a)), U.N. Doc. E/C.12/GC/21 (2009) &amp; General comment No. 15 (2013) on the right of the child to the enjoyment of the highest attainable standard of health (art. 24) pg 21 “Implement rights-based budget monitoring and analysis, as well as child impact assessments on how investments, particularly in the health sector, may serve the best interests of the child”.</w:t>
      </w:r>
    </w:p>
  </w:footnote>
  <w:footnote w:id="3">
    <w:p w14:paraId="60133805" w14:textId="77777777" w:rsidR="006E76E4" w:rsidRPr="006E76E4" w:rsidRDefault="006E76E4" w:rsidP="006E76E4">
      <w:pPr>
        <w:pStyle w:val="FootnoteText"/>
        <w:ind w:left="-426" w:right="-472"/>
      </w:pPr>
      <w:r w:rsidRPr="006E76E4">
        <w:rPr>
          <w:rStyle w:val="FootnoteReference"/>
        </w:rPr>
        <w:footnoteRef/>
      </w:r>
      <w:r w:rsidRPr="006E76E4">
        <w:t xml:space="preserve"> Report of the Special Rapporteur on extreme poverty and human rights, Magdalena Sepúlveda Carmona see here, </w:t>
      </w:r>
      <w:hyperlink r:id="rId5" w:history="1">
        <w:r w:rsidRPr="006E76E4">
          <w:rPr>
            <w:rStyle w:val="Hyperlink"/>
          </w:rPr>
          <w:t>http://www.justiciafiscal.org/wp-content/uploads/2014/06/A_HRC_26_28_ENG.pdf</w:t>
        </w:r>
      </w:hyperlink>
      <w:r w:rsidRPr="006E76E4">
        <w:t xml:space="preserve"> </w:t>
      </w:r>
    </w:p>
  </w:footnote>
  <w:footnote w:id="4">
    <w:p w14:paraId="5C58F088" w14:textId="77777777" w:rsidR="006E76E4" w:rsidRPr="006E76E4" w:rsidRDefault="006E76E4" w:rsidP="006E76E4">
      <w:pPr>
        <w:pStyle w:val="FootnoteText"/>
        <w:ind w:left="-426" w:right="-472"/>
      </w:pPr>
      <w:r w:rsidRPr="006E76E4">
        <w:rPr>
          <w:rStyle w:val="FootnoteReference"/>
        </w:rPr>
        <w:footnoteRef/>
      </w:r>
      <w:r w:rsidRPr="006E76E4">
        <w:t xml:space="preserve"> </w:t>
      </w:r>
      <w:hyperlink r:id="rId6" w:history="1">
        <w:r w:rsidRPr="006E76E4">
          <w:rPr>
            <w:rStyle w:val="Hyperlink"/>
          </w:rPr>
          <w:t>https://documents-dds-ny.un.org/doc/UNDOC/GEN/G18/443/52/PDF/G1844352.pdf?OpenElement</w:t>
        </w:r>
      </w:hyperlink>
      <w:r w:rsidRPr="006E76E4">
        <w:t xml:space="preserve"> </w:t>
      </w:r>
    </w:p>
  </w:footnote>
  <w:footnote w:id="5">
    <w:p w14:paraId="5B106DA4" w14:textId="77777777" w:rsidR="006E76E4" w:rsidRPr="006E76E4" w:rsidRDefault="006E76E4" w:rsidP="006E76E4">
      <w:pPr>
        <w:pStyle w:val="FootnoteText"/>
        <w:ind w:left="-426" w:right="-472"/>
      </w:pPr>
      <w:r w:rsidRPr="006E76E4">
        <w:rPr>
          <w:rStyle w:val="FootnoteReference"/>
        </w:rPr>
        <w:footnoteRef/>
      </w:r>
      <w:hyperlink r:id="rId7" w:history="1">
        <w:r w:rsidRPr="006E76E4">
          <w:rPr>
            <w:rStyle w:val="Hyperlink"/>
          </w:rPr>
          <w:t>https://www.ohchr.org/EN/NewsEvents/Pages/DisplayNews.aspx?NewsID=24090&amp;LangID=E</w:t>
        </w:r>
      </w:hyperlink>
      <w:r w:rsidRPr="006E76E4">
        <w:t xml:space="preserve"> </w:t>
      </w:r>
    </w:p>
  </w:footnote>
  <w:footnote w:id="6">
    <w:p w14:paraId="204B1D6C" w14:textId="77777777" w:rsidR="006E76E4" w:rsidRPr="006E76E4" w:rsidRDefault="006E76E4" w:rsidP="006E76E4">
      <w:pPr>
        <w:pStyle w:val="FootnoteText"/>
        <w:ind w:left="-426"/>
      </w:pPr>
      <w:r w:rsidRPr="006E76E4">
        <w:rPr>
          <w:rStyle w:val="FootnoteReference"/>
        </w:rPr>
        <w:footnoteRef/>
      </w:r>
      <w:r w:rsidRPr="006E76E4">
        <w:t xml:space="preserve"> </w:t>
      </w:r>
      <w:hyperlink r:id="rId8" w:history="1">
        <w:r w:rsidRPr="006E76E4">
          <w:rPr>
            <w:rStyle w:val="Hyperlink"/>
          </w:rPr>
          <w:t>http://eqhria.scottishhumanrights.com/index.html</w:t>
        </w:r>
      </w:hyperlink>
      <w:r w:rsidRPr="006E76E4">
        <w:t xml:space="preserve"> </w:t>
      </w:r>
    </w:p>
  </w:footnote>
  <w:footnote w:id="7">
    <w:p w14:paraId="7CB480D6" w14:textId="77777777" w:rsidR="006E76E4" w:rsidRPr="006E76E4" w:rsidRDefault="006E76E4" w:rsidP="006E76E4">
      <w:pPr>
        <w:pStyle w:val="FootnoteText"/>
        <w:ind w:left="-426"/>
      </w:pPr>
      <w:r w:rsidRPr="006E76E4">
        <w:rPr>
          <w:rStyle w:val="FootnoteReference"/>
        </w:rPr>
        <w:footnoteRef/>
      </w:r>
      <w:r w:rsidRPr="006E76E4">
        <w:t xml:space="preserve"> </w:t>
      </w:r>
      <w:hyperlink r:id="rId9" w:history="1">
        <w:r w:rsidRPr="006E76E4">
          <w:rPr>
            <w:rStyle w:val="Hyperlink"/>
          </w:rPr>
          <w:t>http://www.equalityhumanrights.com/</w:t>
        </w:r>
      </w:hyperlink>
      <w:r w:rsidRPr="006E76E4">
        <w:t xml:space="preserve"> </w:t>
      </w:r>
    </w:p>
  </w:footnote>
  <w:footnote w:id="8">
    <w:p w14:paraId="33BF9252" w14:textId="77777777" w:rsidR="006E76E4" w:rsidRPr="006E76E4" w:rsidRDefault="006E76E4" w:rsidP="006E76E4">
      <w:pPr>
        <w:pStyle w:val="FootnoteText"/>
        <w:ind w:left="-426"/>
      </w:pPr>
      <w:r w:rsidRPr="006E76E4">
        <w:rPr>
          <w:rStyle w:val="FootnoteReference"/>
        </w:rPr>
        <w:footnoteRef/>
      </w:r>
      <w:r w:rsidRPr="006E76E4">
        <w:t xml:space="preserve"> </w:t>
      </w:r>
      <w:hyperlink r:id="rId10" w:history="1">
        <w:r w:rsidRPr="006E76E4">
          <w:rPr>
            <w:rStyle w:val="Hyperlink"/>
          </w:rPr>
          <w:t>http://eqhria.scottishhumanrights.com/eqhrialpaddedvalue.html</w:t>
        </w:r>
      </w:hyperlink>
      <w:r w:rsidRPr="006E76E4">
        <w:t xml:space="preserve"> </w:t>
      </w:r>
    </w:p>
  </w:footnote>
  <w:footnote w:id="9">
    <w:p w14:paraId="575D21F0" w14:textId="77777777" w:rsidR="006E76E4" w:rsidRPr="006E76E4" w:rsidRDefault="006E76E4" w:rsidP="006E76E4">
      <w:pPr>
        <w:pStyle w:val="FootnoteText"/>
        <w:ind w:left="-426"/>
      </w:pPr>
      <w:r w:rsidRPr="006E76E4">
        <w:rPr>
          <w:rStyle w:val="FootnoteReference"/>
        </w:rPr>
        <w:footnoteRef/>
      </w:r>
      <w:r w:rsidRPr="006E76E4">
        <w:t xml:space="preserve"> </w:t>
      </w:r>
      <w:hyperlink r:id="rId11" w:history="1">
        <w:r w:rsidRPr="006E76E4">
          <w:rPr>
            <w:rStyle w:val="Hyperlink"/>
          </w:rPr>
          <w:t>http://eqhria.scottishhumanrights.com/eqhriagoodpractice.html</w:t>
        </w:r>
      </w:hyperlink>
      <w:r w:rsidRPr="006E76E4">
        <w:t xml:space="preserve"> </w:t>
      </w:r>
    </w:p>
  </w:footnote>
  <w:footnote w:id="10">
    <w:p w14:paraId="2AEBDF56" w14:textId="77777777" w:rsidR="006E76E4" w:rsidRPr="006E76E4" w:rsidRDefault="006E76E4" w:rsidP="006E76E4">
      <w:pPr>
        <w:pStyle w:val="FootnoteText"/>
        <w:ind w:left="-426"/>
      </w:pPr>
      <w:r w:rsidRPr="006E76E4">
        <w:rPr>
          <w:rStyle w:val="FootnoteReference"/>
        </w:rPr>
        <w:footnoteRef/>
      </w:r>
      <w:r w:rsidRPr="006E76E4">
        <w:t xml:space="preserve"> </w:t>
      </w:r>
      <w:hyperlink r:id="rId12" w:history="1">
        <w:r w:rsidRPr="006E76E4">
          <w:rPr>
            <w:rStyle w:val="Hyperlink"/>
          </w:rPr>
          <w:t>http://eqhria.scottishhumanrights.com/eqhriapilotstudies.html</w:t>
        </w:r>
      </w:hyperlink>
      <w:r w:rsidRPr="006E76E4">
        <w:t xml:space="preserve"> </w:t>
      </w:r>
    </w:p>
  </w:footnote>
  <w:footnote w:id="11">
    <w:p w14:paraId="35E3B657" w14:textId="77777777" w:rsidR="006E76E4" w:rsidRPr="006E76E4" w:rsidRDefault="006E76E4" w:rsidP="006E76E4">
      <w:pPr>
        <w:pStyle w:val="FootnoteText"/>
        <w:ind w:left="-426"/>
      </w:pPr>
      <w:r w:rsidRPr="006E76E4">
        <w:rPr>
          <w:rStyle w:val="FootnoteReference"/>
        </w:rPr>
        <w:footnoteRef/>
      </w:r>
      <w:r w:rsidRPr="006E76E4">
        <w:t xml:space="preserve"> </w:t>
      </w:r>
      <w:hyperlink r:id="rId13" w:history="1">
        <w:r w:rsidRPr="006E76E4">
          <w:rPr>
            <w:rStyle w:val="Hyperlink"/>
          </w:rPr>
          <w:t>http://eqhria.scottishhumanrights.com/eqhriatrainingresources.html</w:t>
        </w:r>
      </w:hyperlink>
      <w:r w:rsidRPr="006E76E4">
        <w:t xml:space="preserve"> </w:t>
      </w:r>
    </w:p>
  </w:footnote>
  <w:footnote w:id="12">
    <w:p w14:paraId="7BD7081C" w14:textId="77777777" w:rsidR="006E76E4" w:rsidRPr="006E76E4" w:rsidRDefault="006E76E4" w:rsidP="006E76E4">
      <w:pPr>
        <w:pStyle w:val="FootnoteText"/>
        <w:ind w:left="-426"/>
      </w:pPr>
      <w:r w:rsidRPr="006E76E4">
        <w:rPr>
          <w:rStyle w:val="FootnoteReference"/>
        </w:rPr>
        <w:footnoteRef/>
      </w:r>
      <w:r w:rsidRPr="006E76E4">
        <w:t xml:space="preserve"> </w:t>
      </w:r>
      <w:hyperlink r:id="rId14" w:history="1">
        <w:r w:rsidRPr="006E76E4">
          <w:rPr>
            <w:rStyle w:val="Hyperlink"/>
          </w:rPr>
          <w:t>http://eqhria.scottishhumanrights.com/eqhriaotherresources.html</w:t>
        </w:r>
      </w:hyperlink>
      <w:r w:rsidRPr="006E76E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CED88" w14:textId="77777777" w:rsidR="005D0A79" w:rsidRDefault="005D0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80F36" w14:textId="378AEBEE" w:rsidR="005D0A79" w:rsidRDefault="005D0A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F135C" w14:textId="77777777" w:rsidR="005D0A79" w:rsidRDefault="005D0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4090066"/>
    <w:multiLevelType w:val="hybridMultilevel"/>
    <w:tmpl w:val="F894C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93546"/>
    <w:multiLevelType w:val="hybridMultilevel"/>
    <w:tmpl w:val="A09E611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0C99062A"/>
    <w:multiLevelType w:val="hybridMultilevel"/>
    <w:tmpl w:val="59D2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A40A6"/>
    <w:multiLevelType w:val="hybridMultilevel"/>
    <w:tmpl w:val="E4506914"/>
    <w:lvl w:ilvl="0" w:tplc="04090001">
      <w:start w:val="1"/>
      <w:numFmt w:val="bullet"/>
      <w:lvlText w:val=""/>
      <w:lvlJc w:val="left"/>
      <w:pPr>
        <w:ind w:left="2302" w:hanging="360"/>
      </w:pPr>
      <w:rPr>
        <w:rFonts w:ascii="Symbol" w:hAnsi="Symbol" w:hint="default"/>
      </w:rPr>
    </w:lvl>
    <w:lvl w:ilvl="1" w:tplc="04090003" w:tentative="1">
      <w:start w:val="1"/>
      <w:numFmt w:val="bullet"/>
      <w:lvlText w:val="o"/>
      <w:lvlJc w:val="left"/>
      <w:pPr>
        <w:ind w:left="3022" w:hanging="360"/>
      </w:pPr>
      <w:rPr>
        <w:rFonts w:ascii="Courier New" w:hAnsi="Courier New" w:cs="Courier New" w:hint="default"/>
      </w:rPr>
    </w:lvl>
    <w:lvl w:ilvl="2" w:tplc="04090005" w:tentative="1">
      <w:start w:val="1"/>
      <w:numFmt w:val="bullet"/>
      <w:lvlText w:val=""/>
      <w:lvlJc w:val="left"/>
      <w:pPr>
        <w:ind w:left="3742" w:hanging="360"/>
      </w:pPr>
      <w:rPr>
        <w:rFonts w:ascii="Wingdings" w:hAnsi="Wingdings" w:hint="default"/>
      </w:rPr>
    </w:lvl>
    <w:lvl w:ilvl="3" w:tplc="04090001" w:tentative="1">
      <w:start w:val="1"/>
      <w:numFmt w:val="bullet"/>
      <w:lvlText w:val=""/>
      <w:lvlJc w:val="left"/>
      <w:pPr>
        <w:ind w:left="4462" w:hanging="360"/>
      </w:pPr>
      <w:rPr>
        <w:rFonts w:ascii="Symbol" w:hAnsi="Symbol" w:hint="default"/>
      </w:rPr>
    </w:lvl>
    <w:lvl w:ilvl="4" w:tplc="04090003" w:tentative="1">
      <w:start w:val="1"/>
      <w:numFmt w:val="bullet"/>
      <w:lvlText w:val="o"/>
      <w:lvlJc w:val="left"/>
      <w:pPr>
        <w:ind w:left="5182" w:hanging="360"/>
      </w:pPr>
      <w:rPr>
        <w:rFonts w:ascii="Courier New" w:hAnsi="Courier New" w:cs="Courier New" w:hint="default"/>
      </w:rPr>
    </w:lvl>
    <w:lvl w:ilvl="5" w:tplc="04090005" w:tentative="1">
      <w:start w:val="1"/>
      <w:numFmt w:val="bullet"/>
      <w:lvlText w:val=""/>
      <w:lvlJc w:val="left"/>
      <w:pPr>
        <w:ind w:left="5902" w:hanging="360"/>
      </w:pPr>
      <w:rPr>
        <w:rFonts w:ascii="Wingdings" w:hAnsi="Wingdings" w:hint="default"/>
      </w:rPr>
    </w:lvl>
    <w:lvl w:ilvl="6" w:tplc="04090001" w:tentative="1">
      <w:start w:val="1"/>
      <w:numFmt w:val="bullet"/>
      <w:lvlText w:val=""/>
      <w:lvlJc w:val="left"/>
      <w:pPr>
        <w:ind w:left="6622" w:hanging="360"/>
      </w:pPr>
      <w:rPr>
        <w:rFonts w:ascii="Symbol" w:hAnsi="Symbol" w:hint="default"/>
      </w:rPr>
    </w:lvl>
    <w:lvl w:ilvl="7" w:tplc="04090003" w:tentative="1">
      <w:start w:val="1"/>
      <w:numFmt w:val="bullet"/>
      <w:lvlText w:val="o"/>
      <w:lvlJc w:val="left"/>
      <w:pPr>
        <w:ind w:left="7342" w:hanging="360"/>
      </w:pPr>
      <w:rPr>
        <w:rFonts w:ascii="Courier New" w:hAnsi="Courier New" w:cs="Courier New" w:hint="default"/>
      </w:rPr>
    </w:lvl>
    <w:lvl w:ilvl="8" w:tplc="04090005" w:tentative="1">
      <w:start w:val="1"/>
      <w:numFmt w:val="bullet"/>
      <w:lvlText w:val=""/>
      <w:lvlJc w:val="left"/>
      <w:pPr>
        <w:ind w:left="8062" w:hanging="360"/>
      </w:pPr>
      <w:rPr>
        <w:rFonts w:ascii="Wingdings" w:hAnsi="Wingdings" w:hint="default"/>
      </w:rPr>
    </w:lvl>
  </w:abstractNum>
  <w:abstractNum w:abstractNumId="5" w15:restartNumberingAfterBreak="0">
    <w:nsid w:val="10095B7F"/>
    <w:multiLevelType w:val="hybridMultilevel"/>
    <w:tmpl w:val="2F926A74"/>
    <w:lvl w:ilvl="0" w:tplc="66B21716">
      <w:start w:val="1"/>
      <w:numFmt w:val="bullet"/>
      <w:pStyle w:val="bullet"/>
      <w:lvlText w:val=""/>
      <w:lvlJc w:val="left"/>
      <w:pPr>
        <w:ind w:left="579" w:hanging="360"/>
      </w:pPr>
      <w:rPr>
        <w:rFonts w:ascii="Symbol" w:hAnsi="Symbol" w:hint="default"/>
      </w:rPr>
    </w:lvl>
    <w:lvl w:ilvl="1" w:tplc="08090003">
      <w:start w:val="1"/>
      <w:numFmt w:val="bullet"/>
      <w:lvlText w:val="o"/>
      <w:lvlJc w:val="left"/>
      <w:pPr>
        <w:ind w:left="1299" w:hanging="360"/>
      </w:pPr>
      <w:rPr>
        <w:rFonts w:ascii="Courier New" w:hAnsi="Courier New" w:cs="Courier New" w:hint="default"/>
      </w:rPr>
    </w:lvl>
    <w:lvl w:ilvl="2" w:tplc="08090005" w:tentative="1">
      <w:start w:val="1"/>
      <w:numFmt w:val="bullet"/>
      <w:lvlText w:val=""/>
      <w:lvlJc w:val="left"/>
      <w:pPr>
        <w:ind w:left="2019" w:hanging="360"/>
      </w:pPr>
      <w:rPr>
        <w:rFonts w:ascii="Wingdings" w:hAnsi="Wingdings" w:hint="default"/>
      </w:rPr>
    </w:lvl>
    <w:lvl w:ilvl="3" w:tplc="08090001" w:tentative="1">
      <w:start w:val="1"/>
      <w:numFmt w:val="bullet"/>
      <w:lvlText w:val=""/>
      <w:lvlJc w:val="left"/>
      <w:pPr>
        <w:ind w:left="2739" w:hanging="360"/>
      </w:pPr>
      <w:rPr>
        <w:rFonts w:ascii="Symbol" w:hAnsi="Symbol" w:hint="default"/>
      </w:rPr>
    </w:lvl>
    <w:lvl w:ilvl="4" w:tplc="08090003" w:tentative="1">
      <w:start w:val="1"/>
      <w:numFmt w:val="bullet"/>
      <w:lvlText w:val="o"/>
      <w:lvlJc w:val="left"/>
      <w:pPr>
        <w:ind w:left="3459" w:hanging="360"/>
      </w:pPr>
      <w:rPr>
        <w:rFonts w:ascii="Courier New" w:hAnsi="Courier New" w:cs="Courier New" w:hint="default"/>
      </w:rPr>
    </w:lvl>
    <w:lvl w:ilvl="5" w:tplc="08090005" w:tentative="1">
      <w:start w:val="1"/>
      <w:numFmt w:val="bullet"/>
      <w:lvlText w:val=""/>
      <w:lvlJc w:val="left"/>
      <w:pPr>
        <w:ind w:left="4179" w:hanging="360"/>
      </w:pPr>
      <w:rPr>
        <w:rFonts w:ascii="Wingdings" w:hAnsi="Wingdings" w:hint="default"/>
      </w:rPr>
    </w:lvl>
    <w:lvl w:ilvl="6" w:tplc="08090001" w:tentative="1">
      <w:start w:val="1"/>
      <w:numFmt w:val="bullet"/>
      <w:lvlText w:val=""/>
      <w:lvlJc w:val="left"/>
      <w:pPr>
        <w:ind w:left="4899" w:hanging="360"/>
      </w:pPr>
      <w:rPr>
        <w:rFonts w:ascii="Symbol" w:hAnsi="Symbol" w:hint="default"/>
      </w:rPr>
    </w:lvl>
    <w:lvl w:ilvl="7" w:tplc="08090003" w:tentative="1">
      <w:start w:val="1"/>
      <w:numFmt w:val="bullet"/>
      <w:lvlText w:val="o"/>
      <w:lvlJc w:val="left"/>
      <w:pPr>
        <w:ind w:left="5619" w:hanging="360"/>
      </w:pPr>
      <w:rPr>
        <w:rFonts w:ascii="Courier New" w:hAnsi="Courier New" w:cs="Courier New" w:hint="default"/>
      </w:rPr>
    </w:lvl>
    <w:lvl w:ilvl="8" w:tplc="08090005" w:tentative="1">
      <w:start w:val="1"/>
      <w:numFmt w:val="bullet"/>
      <w:lvlText w:val=""/>
      <w:lvlJc w:val="left"/>
      <w:pPr>
        <w:ind w:left="6339" w:hanging="360"/>
      </w:pPr>
      <w:rPr>
        <w:rFonts w:ascii="Wingdings" w:hAnsi="Wingdings" w:hint="default"/>
      </w:rPr>
    </w:lvl>
  </w:abstractNum>
  <w:abstractNum w:abstractNumId="6" w15:restartNumberingAfterBreak="0">
    <w:nsid w:val="169C17EB"/>
    <w:multiLevelType w:val="hybridMultilevel"/>
    <w:tmpl w:val="9334AD2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15:restartNumberingAfterBreak="0">
    <w:nsid w:val="25450209"/>
    <w:multiLevelType w:val="hybridMultilevel"/>
    <w:tmpl w:val="693A71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D32F95"/>
    <w:multiLevelType w:val="hybridMultilevel"/>
    <w:tmpl w:val="4AC4CDD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31CD3F2F"/>
    <w:multiLevelType w:val="hybridMultilevel"/>
    <w:tmpl w:val="79DEDE9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0" w15:restartNumberingAfterBreak="0">
    <w:nsid w:val="34D63518"/>
    <w:multiLevelType w:val="hybridMultilevel"/>
    <w:tmpl w:val="477C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84358E"/>
    <w:multiLevelType w:val="hybridMultilevel"/>
    <w:tmpl w:val="AFE67F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AF1ACC"/>
    <w:multiLevelType w:val="hybridMultilevel"/>
    <w:tmpl w:val="EEAA7C2A"/>
    <w:lvl w:ilvl="0" w:tplc="EB8620AE">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39A82637"/>
    <w:multiLevelType w:val="hybridMultilevel"/>
    <w:tmpl w:val="0BEEE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DB23BC"/>
    <w:multiLevelType w:val="hybridMultilevel"/>
    <w:tmpl w:val="350C9814"/>
    <w:lvl w:ilvl="0" w:tplc="C22467B0">
      <w:start w:val="1"/>
      <w:numFmt w:val="bullet"/>
      <w:lvlText w:val="•"/>
      <w:lvlJc w:val="left"/>
      <w:pPr>
        <w:tabs>
          <w:tab w:val="num" w:pos="720"/>
        </w:tabs>
        <w:ind w:left="720" w:hanging="360"/>
      </w:pPr>
      <w:rPr>
        <w:rFonts w:ascii="Arial" w:hAnsi="Arial" w:hint="default"/>
      </w:rPr>
    </w:lvl>
    <w:lvl w:ilvl="1" w:tplc="392A5BDA" w:tentative="1">
      <w:start w:val="1"/>
      <w:numFmt w:val="bullet"/>
      <w:lvlText w:val="•"/>
      <w:lvlJc w:val="left"/>
      <w:pPr>
        <w:tabs>
          <w:tab w:val="num" w:pos="1440"/>
        </w:tabs>
        <w:ind w:left="1440" w:hanging="360"/>
      </w:pPr>
      <w:rPr>
        <w:rFonts w:ascii="Arial" w:hAnsi="Arial" w:hint="default"/>
      </w:rPr>
    </w:lvl>
    <w:lvl w:ilvl="2" w:tplc="27763222" w:tentative="1">
      <w:start w:val="1"/>
      <w:numFmt w:val="bullet"/>
      <w:lvlText w:val="•"/>
      <w:lvlJc w:val="left"/>
      <w:pPr>
        <w:tabs>
          <w:tab w:val="num" w:pos="2160"/>
        </w:tabs>
        <w:ind w:left="2160" w:hanging="360"/>
      </w:pPr>
      <w:rPr>
        <w:rFonts w:ascii="Arial" w:hAnsi="Arial" w:hint="default"/>
      </w:rPr>
    </w:lvl>
    <w:lvl w:ilvl="3" w:tplc="B8FE7EEA" w:tentative="1">
      <w:start w:val="1"/>
      <w:numFmt w:val="bullet"/>
      <w:lvlText w:val="•"/>
      <w:lvlJc w:val="left"/>
      <w:pPr>
        <w:tabs>
          <w:tab w:val="num" w:pos="2880"/>
        </w:tabs>
        <w:ind w:left="2880" w:hanging="360"/>
      </w:pPr>
      <w:rPr>
        <w:rFonts w:ascii="Arial" w:hAnsi="Arial" w:hint="default"/>
      </w:rPr>
    </w:lvl>
    <w:lvl w:ilvl="4" w:tplc="595A2660" w:tentative="1">
      <w:start w:val="1"/>
      <w:numFmt w:val="bullet"/>
      <w:lvlText w:val="•"/>
      <w:lvlJc w:val="left"/>
      <w:pPr>
        <w:tabs>
          <w:tab w:val="num" w:pos="3600"/>
        </w:tabs>
        <w:ind w:left="3600" w:hanging="360"/>
      </w:pPr>
      <w:rPr>
        <w:rFonts w:ascii="Arial" w:hAnsi="Arial" w:hint="default"/>
      </w:rPr>
    </w:lvl>
    <w:lvl w:ilvl="5" w:tplc="9BA6C5DA" w:tentative="1">
      <w:start w:val="1"/>
      <w:numFmt w:val="bullet"/>
      <w:lvlText w:val="•"/>
      <w:lvlJc w:val="left"/>
      <w:pPr>
        <w:tabs>
          <w:tab w:val="num" w:pos="4320"/>
        </w:tabs>
        <w:ind w:left="4320" w:hanging="360"/>
      </w:pPr>
      <w:rPr>
        <w:rFonts w:ascii="Arial" w:hAnsi="Arial" w:hint="default"/>
      </w:rPr>
    </w:lvl>
    <w:lvl w:ilvl="6" w:tplc="D4B488CA" w:tentative="1">
      <w:start w:val="1"/>
      <w:numFmt w:val="bullet"/>
      <w:lvlText w:val="•"/>
      <w:lvlJc w:val="left"/>
      <w:pPr>
        <w:tabs>
          <w:tab w:val="num" w:pos="5040"/>
        </w:tabs>
        <w:ind w:left="5040" w:hanging="360"/>
      </w:pPr>
      <w:rPr>
        <w:rFonts w:ascii="Arial" w:hAnsi="Arial" w:hint="default"/>
      </w:rPr>
    </w:lvl>
    <w:lvl w:ilvl="7" w:tplc="47C00568" w:tentative="1">
      <w:start w:val="1"/>
      <w:numFmt w:val="bullet"/>
      <w:lvlText w:val="•"/>
      <w:lvlJc w:val="left"/>
      <w:pPr>
        <w:tabs>
          <w:tab w:val="num" w:pos="5760"/>
        </w:tabs>
        <w:ind w:left="5760" w:hanging="360"/>
      </w:pPr>
      <w:rPr>
        <w:rFonts w:ascii="Arial" w:hAnsi="Arial" w:hint="default"/>
      </w:rPr>
    </w:lvl>
    <w:lvl w:ilvl="8" w:tplc="D8D89A1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F903884"/>
    <w:multiLevelType w:val="hybridMultilevel"/>
    <w:tmpl w:val="D3C24C3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6" w15:restartNumberingAfterBreak="0">
    <w:nsid w:val="416F095A"/>
    <w:multiLevelType w:val="hybridMultilevel"/>
    <w:tmpl w:val="380EB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176FD8"/>
    <w:multiLevelType w:val="hybridMultilevel"/>
    <w:tmpl w:val="0D14308A"/>
    <w:lvl w:ilvl="0" w:tplc="6A8CD3FC">
      <w:start w:val="1"/>
      <w:numFmt w:val="bullet"/>
      <w:lvlText w:val="•"/>
      <w:lvlJc w:val="left"/>
      <w:pPr>
        <w:tabs>
          <w:tab w:val="num" w:pos="720"/>
        </w:tabs>
        <w:ind w:left="720" w:hanging="360"/>
      </w:pPr>
      <w:rPr>
        <w:rFonts w:ascii="Arial" w:hAnsi="Arial" w:hint="default"/>
      </w:rPr>
    </w:lvl>
    <w:lvl w:ilvl="1" w:tplc="17BCDC36" w:tentative="1">
      <w:start w:val="1"/>
      <w:numFmt w:val="bullet"/>
      <w:lvlText w:val="•"/>
      <w:lvlJc w:val="left"/>
      <w:pPr>
        <w:tabs>
          <w:tab w:val="num" w:pos="1440"/>
        </w:tabs>
        <w:ind w:left="1440" w:hanging="360"/>
      </w:pPr>
      <w:rPr>
        <w:rFonts w:ascii="Arial" w:hAnsi="Arial" w:hint="default"/>
      </w:rPr>
    </w:lvl>
    <w:lvl w:ilvl="2" w:tplc="A8CE596A" w:tentative="1">
      <w:start w:val="1"/>
      <w:numFmt w:val="bullet"/>
      <w:lvlText w:val="•"/>
      <w:lvlJc w:val="left"/>
      <w:pPr>
        <w:tabs>
          <w:tab w:val="num" w:pos="2160"/>
        </w:tabs>
        <w:ind w:left="2160" w:hanging="360"/>
      </w:pPr>
      <w:rPr>
        <w:rFonts w:ascii="Arial" w:hAnsi="Arial" w:hint="default"/>
      </w:rPr>
    </w:lvl>
    <w:lvl w:ilvl="3" w:tplc="B686DF22" w:tentative="1">
      <w:start w:val="1"/>
      <w:numFmt w:val="bullet"/>
      <w:lvlText w:val="•"/>
      <w:lvlJc w:val="left"/>
      <w:pPr>
        <w:tabs>
          <w:tab w:val="num" w:pos="2880"/>
        </w:tabs>
        <w:ind w:left="2880" w:hanging="360"/>
      </w:pPr>
      <w:rPr>
        <w:rFonts w:ascii="Arial" w:hAnsi="Arial" w:hint="default"/>
      </w:rPr>
    </w:lvl>
    <w:lvl w:ilvl="4" w:tplc="B9DE1BFE" w:tentative="1">
      <w:start w:val="1"/>
      <w:numFmt w:val="bullet"/>
      <w:lvlText w:val="•"/>
      <w:lvlJc w:val="left"/>
      <w:pPr>
        <w:tabs>
          <w:tab w:val="num" w:pos="3600"/>
        </w:tabs>
        <w:ind w:left="3600" w:hanging="360"/>
      </w:pPr>
      <w:rPr>
        <w:rFonts w:ascii="Arial" w:hAnsi="Arial" w:hint="default"/>
      </w:rPr>
    </w:lvl>
    <w:lvl w:ilvl="5" w:tplc="1F00B130" w:tentative="1">
      <w:start w:val="1"/>
      <w:numFmt w:val="bullet"/>
      <w:lvlText w:val="•"/>
      <w:lvlJc w:val="left"/>
      <w:pPr>
        <w:tabs>
          <w:tab w:val="num" w:pos="4320"/>
        </w:tabs>
        <w:ind w:left="4320" w:hanging="360"/>
      </w:pPr>
      <w:rPr>
        <w:rFonts w:ascii="Arial" w:hAnsi="Arial" w:hint="default"/>
      </w:rPr>
    </w:lvl>
    <w:lvl w:ilvl="6" w:tplc="2B70D8AE" w:tentative="1">
      <w:start w:val="1"/>
      <w:numFmt w:val="bullet"/>
      <w:lvlText w:val="•"/>
      <w:lvlJc w:val="left"/>
      <w:pPr>
        <w:tabs>
          <w:tab w:val="num" w:pos="5040"/>
        </w:tabs>
        <w:ind w:left="5040" w:hanging="360"/>
      </w:pPr>
      <w:rPr>
        <w:rFonts w:ascii="Arial" w:hAnsi="Arial" w:hint="default"/>
      </w:rPr>
    </w:lvl>
    <w:lvl w:ilvl="7" w:tplc="46D2471A" w:tentative="1">
      <w:start w:val="1"/>
      <w:numFmt w:val="bullet"/>
      <w:lvlText w:val="•"/>
      <w:lvlJc w:val="left"/>
      <w:pPr>
        <w:tabs>
          <w:tab w:val="num" w:pos="5760"/>
        </w:tabs>
        <w:ind w:left="5760" w:hanging="360"/>
      </w:pPr>
      <w:rPr>
        <w:rFonts w:ascii="Arial" w:hAnsi="Arial" w:hint="default"/>
      </w:rPr>
    </w:lvl>
    <w:lvl w:ilvl="8" w:tplc="45F4FA4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C9C5216"/>
    <w:multiLevelType w:val="hybridMultilevel"/>
    <w:tmpl w:val="EDDA446E"/>
    <w:lvl w:ilvl="0" w:tplc="A5F6803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972331E"/>
    <w:multiLevelType w:val="hybridMultilevel"/>
    <w:tmpl w:val="7FEE2AB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0" w15:restartNumberingAfterBreak="0">
    <w:nsid w:val="5A7B6B91"/>
    <w:multiLevelType w:val="hybridMultilevel"/>
    <w:tmpl w:val="B36816E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1" w15:restartNumberingAfterBreak="0">
    <w:nsid w:val="5AF82C4B"/>
    <w:multiLevelType w:val="multilevel"/>
    <w:tmpl w:val="C8F4C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3" w15:restartNumberingAfterBreak="0">
    <w:nsid w:val="71F17BAD"/>
    <w:multiLevelType w:val="hybridMultilevel"/>
    <w:tmpl w:val="EB2A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0D2967"/>
    <w:multiLevelType w:val="hybridMultilevel"/>
    <w:tmpl w:val="23F8234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5" w15:restartNumberingAfterBreak="0">
    <w:nsid w:val="79E5089D"/>
    <w:multiLevelType w:val="hybridMultilevel"/>
    <w:tmpl w:val="26608F08"/>
    <w:lvl w:ilvl="0" w:tplc="8D4E8EBC">
      <w:start w:val="1"/>
      <w:numFmt w:val="bullet"/>
      <w:lvlText w:val="•"/>
      <w:lvlJc w:val="left"/>
      <w:pPr>
        <w:tabs>
          <w:tab w:val="num" w:pos="720"/>
        </w:tabs>
        <w:ind w:left="720" w:hanging="360"/>
      </w:pPr>
      <w:rPr>
        <w:rFonts w:ascii="Arial" w:hAnsi="Arial" w:hint="default"/>
      </w:rPr>
    </w:lvl>
    <w:lvl w:ilvl="1" w:tplc="5E5425AE" w:tentative="1">
      <w:start w:val="1"/>
      <w:numFmt w:val="bullet"/>
      <w:lvlText w:val="•"/>
      <w:lvlJc w:val="left"/>
      <w:pPr>
        <w:tabs>
          <w:tab w:val="num" w:pos="1440"/>
        </w:tabs>
        <w:ind w:left="1440" w:hanging="360"/>
      </w:pPr>
      <w:rPr>
        <w:rFonts w:ascii="Arial" w:hAnsi="Arial" w:hint="default"/>
      </w:rPr>
    </w:lvl>
    <w:lvl w:ilvl="2" w:tplc="D93EC3D4" w:tentative="1">
      <w:start w:val="1"/>
      <w:numFmt w:val="bullet"/>
      <w:lvlText w:val="•"/>
      <w:lvlJc w:val="left"/>
      <w:pPr>
        <w:tabs>
          <w:tab w:val="num" w:pos="2160"/>
        </w:tabs>
        <w:ind w:left="2160" w:hanging="360"/>
      </w:pPr>
      <w:rPr>
        <w:rFonts w:ascii="Arial" w:hAnsi="Arial" w:hint="default"/>
      </w:rPr>
    </w:lvl>
    <w:lvl w:ilvl="3" w:tplc="5218F654" w:tentative="1">
      <w:start w:val="1"/>
      <w:numFmt w:val="bullet"/>
      <w:lvlText w:val="•"/>
      <w:lvlJc w:val="left"/>
      <w:pPr>
        <w:tabs>
          <w:tab w:val="num" w:pos="2880"/>
        </w:tabs>
        <w:ind w:left="2880" w:hanging="360"/>
      </w:pPr>
      <w:rPr>
        <w:rFonts w:ascii="Arial" w:hAnsi="Arial" w:hint="default"/>
      </w:rPr>
    </w:lvl>
    <w:lvl w:ilvl="4" w:tplc="9C2819D8" w:tentative="1">
      <w:start w:val="1"/>
      <w:numFmt w:val="bullet"/>
      <w:lvlText w:val="•"/>
      <w:lvlJc w:val="left"/>
      <w:pPr>
        <w:tabs>
          <w:tab w:val="num" w:pos="3600"/>
        </w:tabs>
        <w:ind w:left="3600" w:hanging="360"/>
      </w:pPr>
      <w:rPr>
        <w:rFonts w:ascii="Arial" w:hAnsi="Arial" w:hint="default"/>
      </w:rPr>
    </w:lvl>
    <w:lvl w:ilvl="5" w:tplc="DE342A90" w:tentative="1">
      <w:start w:val="1"/>
      <w:numFmt w:val="bullet"/>
      <w:lvlText w:val="•"/>
      <w:lvlJc w:val="left"/>
      <w:pPr>
        <w:tabs>
          <w:tab w:val="num" w:pos="4320"/>
        </w:tabs>
        <w:ind w:left="4320" w:hanging="360"/>
      </w:pPr>
      <w:rPr>
        <w:rFonts w:ascii="Arial" w:hAnsi="Arial" w:hint="default"/>
      </w:rPr>
    </w:lvl>
    <w:lvl w:ilvl="6" w:tplc="58F2B764" w:tentative="1">
      <w:start w:val="1"/>
      <w:numFmt w:val="bullet"/>
      <w:lvlText w:val="•"/>
      <w:lvlJc w:val="left"/>
      <w:pPr>
        <w:tabs>
          <w:tab w:val="num" w:pos="5040"/>
        </w:tabs>
        <w:ind w:left="5040" w:hanging="360"/>
      </w:pPr>
      <w:rPr>
        <w:rFonts w:ascii="Arial" w:hAnsi="Arial" w:hint="default"/>
      </w:rPr>
    </w:lvl>
    <w:lvl w:ilvl="7" w:tplc="09A67454" w:tentative="1">
      <w:start w:val="1"/>
      <w:numFmt w:val="bullet"/>
      <w:lvlText w:val="•"/>
      <w:lvlJc w:val="left"/>
      <w:pPr>
        <w:tabs>
          <w:tab w:val="num" w:pos="5760"/>
        </w:tabs>
        <w:ind w:left="5760" w:hanging="360"/>
      </w:pPr>
      <w:rPr>
        <w:rFonts w:ascii="Arial" w:hAnsi="Arial" w:hint="default"/>
      </w:rPr>
    </w:lvl>
    <w:lvl w:ilvl="8" w:tplc="491AF2C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E7E0D0C"/>
    <w:multiLevelType w:val="hybridMultilevel"/>
    <w:tmpl w:val="7F984B96"/>
    <w:lvl w:ilvl="0" w:tplc="08090001">
      <w:start w:val="1"/>
      <w:numFmt w:val="bullet"/>
      <w:lvlText w:val=""/>
      <w:lvlJc w:val="left"/>
      <w:pPr>
        <w:ind w:left="436"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abstractNumId w:val="22"/>
  </w:num>
  <w:num w:numId="2">
    <w:abstractNumId w:val="0"/>
  </w:num>
  <w:num w:numId="3">
    <w:abstractNumId w:val="0"/>
  </w:num>
  <w:num w:numId="4">
    <w:abstractNumId w:val="0"/>
  </w:num>
  <w:num w:numId="5">
    <w:abstractNumId w:val="22"/>
  </w:num>
  <w:num w:numId="6">
    <w:abstractNumId w:val="0"/>
  </w:num>
  <w:num w:numId="7">
    <w:abstractNumId w:val="21"/>
  </w:num>
  <w:num w:numId="8">
    <w:abstractNumId w:val="7"/>
  </w:num>
  <w:num w:numId="9">
    <w:abstractNumId w:val="3"/>
  </w:num>
  <w:num w:numId="10">
    <w:abstractNumId w:val="13"/>
  </w:num>
  <w:num w:numId="11">
    <w:abstractNumId w:val="4"/>
  </w:num>
  <w:num w:numId="12">
    <w:abstractNumId w:val="18"/>
  </w:num>
  <w:num w:numId="13">
    <w:abstractNumId w:val="11"/>
  </w:num>
  <w:num w:numId="14">
    <w:abstractNumId w:val="17"/>
  </w:num>
  <w:num w:numId="15">
    <w:abstractNumId w:val="25"/>
  </w:num>
  <w:num w:numId="16">
    <w:abstractNumId w:val="14"/>
  </w:num>
  <w:num w:numId="17">
    <w:abstractNumId w:val="23"/>
  </w:num>
  <w:num w:numId="18">
    <w:abstractNumId w:val="19"/>
  </w:num>
  <w:num w:numId="19">
    <w:abstractNumId w:val="6"/>
  </w:num>
  <w:num w:numId="20">
    <w:abstractNumId w:val="26"/>
  </w:num>
  <w:num w:numId="21">
    <w:abstractNumId w:val="5"/>
  </w:num>
  <w:num w:numId="22">
    <w:abstractNumId w:val="8"/>
  </w:num>
  <w:num w:numId="23">
    <w:abstractNumId w:val="9"/>
  </w:num>
  <w:num w:numId="24">
    <w:abstractNumId w:val="24"/>
  </w:num>
  <w:num w:numId="25">
    <w:abstractNumId w:val="16"/>
  </w:num>
  <w:num w:numId="26">
    <w:abstractNumId w:val="10"/>
  </w:num>
  <w:num w:numId="27">
    <w:abstractNumId w:val="1"/>
  </w:num>
  <w:num w:numId="28">
    <w:abstractNumId w:val="15"/>
  </w:num>
  <w:num w:numId="29">
    <w:abstractNumId w:val="12"/>
  </w:num>
  <w:num w:numId="30">
    <w:abstractNumId w:val="2"/>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B4D"/>
    <w:rsid w:val="00010F7F"/>
    <w:rsid w:val="00012E31"/>
    <w:rsid w:val="00014B23"/>
    <w:rsid w:val="00027A79"/>
    <w:rsid w:val="00027C27"/>
    <w:rsid w:val="000349A8"/>
    <w:rsid w:val="00041F67"/>
    <w:rsid w:val="00046336"/>
    <w:rsid w:val="000507AE"/>
    <w:rsid w:val="00063EB3"/>
    <w:rsid w:val="00070A8E"/>
    <w:rsid w:val="0008615F"/>
    <w:rsid w:val="00087151"/>
    <w:rsid w:val="00087CC3"/>
    <w:rsid w:val="0009788E"/>
    <w:rsid w:val="000C0CF4"/>
    <w:rsid w:val="000C29B3"/>
    <w:rsid w:val="000D3F3F"/>
    <w:rsid w:val="000D4C94"/>
    <w:rsid w:val="000E5488"/>
    <w:rsid w:val="000E571F"/>
    <w:rsid w:val="00100117"/>
    <w:rsid w:val="001404EB"/>
    <w:rsid w:val="00141FE3"/>
    <w:rsid w:val="00160AAF"/>
    <w:rsid w:val="001742F7"/>
    <w:rsid w:val="00194867"/>
    <w:rsid w:val="001B4181"/>
    <w:rsid w:val="001C18AF"/>
    <w:rsid w:val="001E4054"/>
    <w:rsid w:val="001E468C"/>
    <w:rsid w:val="001F3199"/>
    <w:rsid w:val="002000C2"/>
    <w:rsid w:val="0024638E"/>
    <w:rsid w:val="00263839"/>
    <w:rsid w:val="0026414C"/>
    <w:rsid w:val="00274DDD"/>
    <w:rsid w:val="00281579"/>
    <w:rsid w:val="0029366B"/>
    <w:rsid w:val="002D48C4"/>
    <w:rsid w:val="002E37AB"/>
    <w:rsid w:val="002E696C"/>
    <w:rsid w:val="003032CF"/>
    <w:rsid w:val="00306C61"/>
    <w:rsid w:val="0032676C"/>
    <w:rsid w:val="0036054B"/>
    <w:rsid w:val="003662C1"/>
    <w:rsid w:val="0037582B"/>
    <w:rsid w:val="00382DC5"/>
    <w:rsid w:val="00384583"/>
    <w:rsid w:val="00394745"/>
    <w:rsid w:val="003A407A"/>
    <w:rsid w:val="003A796D"/>
    <w:rsid w:val="003A7CBA"/>
    <w:rsid w:val="003D4D39"/>
    <w:rsid w:val="003E3D93"/>
    <w:rsid w:val="00410518"/>
    <w:rsid w:val="0041357D"/>
    <w:rsid w:val="00426398"/>
    <w:rsid w:val="00433B3E"/>
    <w:rsid w:val="0046367F"/>
    <w:rsid w:val="004A132E"/>
    <w:rsid w:val="004B3080"/>
    <w:rsid w:val="004B334D"/>
    <w:rsid w:val="004E61EB"/>
    <w:rsid w:val="005443E4"/>
    <w:rsid w:val="00573702"/>
    <w:rsid w:val="0059613D"/>
    <w:rsid w:val="005A3F5B"/>
    <w:rsid w:val="005D0A79"/>
    <w:rsid w:val="005E4B67"/>
    <w:rsid w:val="005E7A4C"/>
    <w:rsid w:val="006009AF"/>
    <w:rsid w:val="00623474"/>
    <w:rsid w:val="00627CAA"/>
    <w:rsid w:val="00671302"/>
    <w:rsid w:val="00676894"/>
    <w:rsid w:val="00682814"/>
    <w:rsid w:val="00682CDA"/>
    <w:rsid w:val="00692866"/>
    <w:rsid w:val="00693AB0"/>
    <w:rsid w:val="00696A2F"/>
    <w:rsid w:val="006A0CE3"/>
    <w:rsid w:val="006D0D3F"/>
    <w:rsid w:val="006E76E4"/>
    <w:rsid w:val="006F1264"/>
    <w:rsid w:val="006F2D77"/>
    <w:rsid w:val="006F422A"/>
    <w:rsid w:val="0070728A"/>
    <w:rsid w:val="00714C46"/>
    <w:rsid w:val="0071688D"/>
    <w:rsid w:val="0075104A"/>
    <w:rsid w:val="007537AB"/>
    <w:rsid w:val="007649C7"/>
    <w:rsid w:val="0076758F"/>
    <w:rsid w:val="00775ED1"/>
    <w:rsid w:val="007930BA"/>
    <w:rsid w:val="00793731"/>
    <w:rsid w:val="007B596E"/>
    <w:rsid w:val="007C4A9F"/>
    <w:rsid w:val="007D70CA"/>
    <w:rsid w:val="007E3E65"/>
    <w:rsid w:val="00813C93"/>
    <w:rsid w:val="008249A5"/>
    <w:rsid w:val="00857548"/>
    <w:rsid w:val="00873828"/>
    <w:rsid w:val="00884C96"/>
    <w:rsid w:val="008F4914"/>
    <w:rsid w:val="009013C8"/>
    <w:rsid w:val="0091436B"/>
    <w:rsid w:val="00916F46"/>
    <w:rsid w:val="00936097"/>
    <w:rsid w:val="00952E3D"/>
    <w:rsid w:val="00953ADE"/>
    <w:rsid w:val="0095591E"/>
    <w:rsid w:val="00962210"/>
    <w:rsid w:val="00980B4D"/>
    <w:rsid w:val="009A570B"/>
    <w:rsid w:val="009B7615"/>
    <w:rsid w:val="009D2BE8"/>
    <w:rsid w:val="00A01898"/>
    <w:rsid w:val="00A044B0"/>
    <w:rsid w:val="00A241A9"/>
    <w:rsid w:val="00A3123F"/>
    <w:rsid w:val="00A31E8E"/>
    <w:rsid w:val="00A34B4F"/>
    <w:rsid w:val="00A43F7B"/>
    <w:rsid w:val="00A52C0A"/>
    <w:rsid w:val="00A65F49"/>
    <w:rsid w:val="00A8132F"/>
    <w:rsid w:val="00A84538"/>
    <w:rsid w:val="00A8533E"/>
    <w:rsid w:val="00A91D3A"/>
    <w:rsid w:val="00A929C6"/>
    <w:rsid w:val="00AD676E"/>
    <w:rsid w:val="00AE6AEF"/>
    <w:rsid w:val="00AE7841"/>
    <w:rsid w:val="00B235EE"/>
    <w:rsid w:val="00B33CD7"/>
    <w:rsid w:val="00B372C5"/>
    <w:rsid w:val="00B5150A"/>
    <w:rsid w:val="00B51BDC"/>
    <w:rsid w:val="00B54F7D"/>
    <w:rsid w:val="00B561C0"/>
    <w:rsid w:val="00B70D98"/>
    <w:rsid w:val="00B74837"/>
    <w:rsid w:val="00B773CE"/>
    <w:rsid w:val="00B84EC6"/>
    <w:rsid w:val="00B97E0B"/>
    <w:rsid w:val="00BD18F7"/>
    <w:rsid w:val="00C35BD8"/>
    <w:rsid w:val="00C42691"/>
    <w:rsid w:val="00C52C18"/>
    <w:rsid w:val="00C54669"/>
    <w:rsid w:val="00C57558"/>
    <w:rsid w:val="00C64763"/>
    <w:rsid w:val="00C80D26"/>
    <w:rsid w:val="00C879A8"/>
    <w:rsid w:val="00C91823"/>
    <w:rsid w:val="00C91AD0"/>
    <w:rsid w:val="00C92BBE"/>
    <w:rsid w:val="00CC4B28"/>
    <w:rsid w:val="00CF6A48"/>
    <w:rsid w:val="00CF7D7E"/>
    <w:rsid w:val="00D008AB"/>
    <w:rsid w:val="00D07EF2"/>
    <w:rsid w:val="00D13CE5"/>
    <w:rsid w:val="00D2035C"/>
    <w:rsid w:val="00D32606"/>
    <w:rsid w:val="00D54661"/>
    <w:rsid w:val="00D54D9E"/>
    <w:rsid w:val="00D56A24"/>
    <w:rsid w:val="00D61E84"/>
    <w:rsid w:val="00D63067"/>
    <w:rsid w:val="00D75F3F"/>
    <w:rsid w:val="00D909F9"/>
    <w:rsid w:val="00DC1C9C"/>
    <w:rsid w:val="00DF1330"/>
    <w:rsid w:val="00DF3E1E"/>
    <w:rsid w:val="00E2278A"/>
    <w:rsid w:val="00E35684"/>
    <w:rsid w:val="00E83776"/>
    <w:rsid w:val="00EA4309"/>
    <w:rsid w:val="00EB4A85"/>
    <w:rsid w:val="00EC2D7E"/>
    <w:rsid w:val="00EE2125"/>
    <w:rsid w:val="00EE75EE"/>
    <w:rsid w:val="00F143EF"/>
    <w:rsid w:val="00F21C64"/>
    <w:rsid w:val="00F27E88"/>
    <w:rsid w:val="00F464BF"/>
    <w:rsid w:val="00F63B97"/>
    <w:rsid w:val="00F72E95"/>
    <w:rsid w:val="00F730F8"/>
    <w:rsid w:val="00F77522"/>
    <w:rsid w:val="00F9353A"/>
    <w:rsid w:val="00F94A73"/>
    <w:rsid w:val="00FA328D"/>
    <w:rsid w:val="00FA4BC1"/>
    <w:rsid w:val="00FD611D"/>
    <w:rsid w:val="00FD711D"/>
    <w:rsid w:val="00FE70B1"/>
    <w:rsid w:val="00FE7ACB"/>
    <w:rsid w:val="00FE7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9D472D"/>
  <w15:chartTrackingRefBased/>
  <w15:docId w15:val="{0A3FFCD9-E79A-4DE1-B5EA-79297A52B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7AB"/>
    <w:pPr>
      <w:autoSpaceDE w:val="0"/>
      <w:autoSpaceDN w:val="0"/>
      <w:adjustRightInd w:val="0"/>
    </w:pPr>
    <w:rPr>
      <w:rFonts w:cstheme="minorHAnsi"/>
      <w:color w:val="000000"/>
      <w:sz w:val="24"/>
      <w:szCs w:val="24"/>
    </w:rPr>
  </w:style>
  <w:style w:type="paragraph" w:styleId="Heading1">
    <w:name w:val="heading 1"/>
    <w:aliases w:val="Outline1"/>
    <w:basedOn w:val="Normal"/>
    <w:next w:val="Normal"/>
    <w:link w:val="Heading1Char"/>
    <w:qFormat/>
    <w:rsid w:val="006E76E4"/>
    <w:pPr>
      <w:ind w:left="-426" w:right="-188"/>
      <w:outlineLvl w:val="0"/>
    </w:pPr>
    <w:rPr>
      <w:b/>
      <w:sz w:val="28"/>
      <w:szCs w:val="28"/>
      <w:u w:val="single"/>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6E76E4"/>
    <w:rPr>
      <w:rFonts w:cstheme="minorHAnsi"/>
      <w:b/>
      <w:color w:val="000000"/>
      <w:sz w:val="28"/>
      <w:szCs w:val="28"/>
      <w:u w:val="single"/>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customStyle="1" w:styleId="Heading11">
    <w:name w:val="Heading 11"/>
    <w:basedOn w:val="Normal"/>
    <w:link w:val="heading1Char0"/>
    <w:qFormat/>
    <w:rsid w:val="009D2BE8"/>
    <w:rPr>
      <w:b/>
    </w:rPr>
  </w:style>
  <w:style w:type="paragraph" w:styleId="Title">
    <w:name w:val="Title"/>
    <w:basedOn w:val="Normal"/>
    <w:next w:val="Normal"/>
    <w:link w:val="TitleChar"/>
    <w:uiPriority w:val="10"/>
    <w:qFormat/>
    <w:rsid w:val="00C64763"/>
    <w:pPr>
      <w:jc w:val="center"/>
    </w:pPr>
    <w:rPr>
      <w:rFonts w:cs="Arial"/>
      <w:b/>
      <w:bCs/>
      <w:sz w:val="36"/>
    </w:rPr>
  </w:style>
  <w:style w:type="character" w:customStyle="1" w:styleId="heading1Char0">
    <w:name w:val="heading 1 Char"/>
    <w:basedOn w:val="DefaultParagraphFont"/>
    <w:link w:val="Heading11"/>
    <w:rsid w:val="009D2BE8"/>
    <w:rPr>
      <w:rFonts w:cstheme="minorHAnsi"/>
      <w:b/>
      <w:color w:val="000000"/>
      <w:sz w:val="24"/>
      <w:szCs w:val="24"/>
    </w:rPr>
  </w:style>
  <w:style w:type="character" w:customStyle="1" w:styleId="TitleChar">
    <w:name w:val="Title Char"/>
    <w:basedOn w:val="DefaultParagraphFont"/>
    <w:link w:val="Title"/>
    <w:uiPriority w:val="10"/>
    <w:rsid w:val="00C64763"/>
    <w:rPr>
      <w:rFonts w:cs="Arial"/>
      <w:b/>
      <w:bCs/>
      <w:color w:val="000000"/>
      <w:sz w:val="36"/>
      <w:szCs w:val="24"/>
    </w:rPr>
  </w:style>
  <w:style w:type="character" w:styleId="Hyperlink">
    <w:name w:val="Hyperlink"/>
    <w:basedOn w:val="DefaultParagraphFont"/>
    <w:uiPriority w:val="99"/>
    <w:unhideWhenUsed/>
    <w:rsid w:val="00CF6A48"/>
    <w:rPr>
      <w:color w:val="0563C1" w:themeColor="hyperlink"/>
      <w:u w:val="single"/>
    </w:rPr>
  </w:style>
  <w:style w:type="character" w:styleId="FollowedHyperlink">
    <w:name w:val="FollowedHyperlink"/>
    <w:basedOn w:val="DefaultParagraphFont"/>
    <w:uiPriority w:val="99"/>
    <w:semiHidden/>
    <w:unhideWhenUsed/>
    <w:rsid w:val="00CF6A48"/>
    <w:rPr>
      <w:color w:val="954F72" w:themeColor="followedHyperlink"/>
      <w:u w:val="single"/>
    </w:rPr>
  </w:style>
  <w:style w:type="paragraph" w:styleId="NormalWeb">
    <w:name w:val="Normal (Web)"/>
    <w:basedOn w:val="Normal"/>
    <w:uiPriority w:val="99"/>
    <w:unhideWhenUsed/>
    <w:rsid w:val="00CF6A48"/>
    <w:pPr>
      <w:autoSpaceDE/>
      <w:autoSpaceDN/>
      <w:adjustRightInd/>
      <w:spacing w:after="150"/>
    </w:pPr>
    <w:rPr>
      <w:rFonts w:ascii="Times New Roman" w:hAnsi="Times New Roman" w:cs="Times New Roman"/>
      <w:color w:val="auto"/>
      <w:lang w:eastAsia="en-GB"/>
    </w:rPr>
  </w:style>
  <w:style w:type="character" w:styleId="Emphasis">
    <w:name w:val="Emphasis"/>
    <w:basedOn w:val="DefaultParagraphFont"/>
    <w:uiPriority w:val="20"/>
    <w:qFormat/>
    <w:rsid w:val="00CF6A48"/>
    <w:rPr>
      <w:i/>
      <w:iCs/>
    </w:rPr>
  </w:style>
  <w:style w:type="paragraph" w:styleId="ListParagraph">
    <w:name w:val="List Paragraph"/>
    <w:aliases w:val="Dot pt,No Spacing1,List Paragraph Char Char Char,Indicator Text,Numbered Para 1,List Paragraph1,Bullet Points,MAIN CONTENT,List Paragraph12,F5 List Paragraph,OBC Bullet,Colorful List - Accent 11,Normal numbered,List Paragraph11,Bullet 1"/>
    <w:basedOn w:val="Normal"/>
    <w:link w:val="ListParagraphChar"/>
    <w:uiPriority w:val="34"/>
    <w:qFormat/>
    <w:rsid w:val="00CF6A48"/>
    <w:pPr>
      <w:ind w:left="720"/>
      <w:contextualSpacing/>
    </w:pPr>
  </w:style>
  <w:style w:type="paragraph" w:styleId="EndnoteText">
    <w:name w:val="endnote text"/>
    <w:basedOn w:val="Normal"/>
    <w:link w:val="EndnoteTextChar"/>
    <w:uiPriority w:val="99"/>
    <w:semiHidden/>
    <w:unhideWhenUsed/>
    <w:rsid w:val="00263839"/>
    <w:pPr>
      <w:tabs>
        <w:tab w:val="left" w:pos="720"/>
        <w:tab w:val="left" w:pos="1440"/>
        <w:tab w:val="left" w:pos="2160"/>
        <w:tab w:val="left" w:pos="2880"/>
        <w:tab w:val="left" w:pos="4680"/>
        <w:tab w:val="left" w:pos="5400"/>
        <w:tab w:val="right" w:pos="9000"/>
      </w:tabs>
      <w:autoSpaceDE/>
      <w:autoSpaceDN/>
      <w:adjustRightInd/>
      <w:jc w:val="both"/>
    </w:pPr>
    <w:rPr>
      <w:rFonts w:ascii="Arial" w:hAnsi="Arial" w:cs="Times New Roman"/>
      <w:color w:val="auto"/>
      <w:sz w:val="20"/>
      <w:szCs w:val="20"/>
    </w:rPr>
  </w:style>
  <w:style w:type="character" w:customStyle="1" w:styleId="EndnoteTextChar">
    <w:name w:val="Endnote Text Char"/>
    <w:basedOn w:val="DefaultParagraphFont"/>
    <w:link w:val="EndnoteText"/>
    <w:uiPriority w:val="99"/>
    <w:semiHidden/>
    <w:rsid w:val="00263839"/>
    <w:rPr>
      <w:rFonts w:ascii="Arial" w:hAnsi="Arial" w:cs="Times New Roman"/>
      <w:sz w:val="20"/>
      <w:szCs w:val="20"/>
    </w:rPr>
  </w:style>
  <w:style w:type="character" w:styleId="EndnoteReference">
    <w:name w:val="endnote reference"/>
    <w:basedOn w:val="DefaultParagraphFont"/>
    <w:uiPriority w:val="99"/>
    <w:semiHidden/>
    <w:unhideWhenUsed/>
    <w:rsid w:val="00263839"/>
    <w:rPr>
      <w:vertAlign w:val="superscript"/>
    </w:rPr>
  </w:style>
  <w:style w:type="paragraph" w:customStyle="1" w:styleId="Default">
    <w:name w:val="Default"/>
    <w:rsid w:val="00693AB0"/>
    <w:pPr>
      <w:autoSpaceDE w:val="0"/>
      <w:autoSpaceDN w:val="0"/>
      <w:adjustRightInd w:val="0"/>
    </w:pPr>
    <w:rPr>
      <w:rFonts w:ascii="Arial" w:hAnsi="Arial" w:cs="Arial"/>
      <w:color w:val="000000"/>
      <w:sz w:val="24"/>
      <w:szCs w:val="24"/>
      <w:lang w:eastAsia="en-GB"/>
    </w:rPr>
  </w:style>
  <w:style w:type="paragraph" w:styleId="FootnoteText">
    <w:name w:val="footnote text"/>
    <w:aliases w:val="5_G"/>
    <w:basedOn w:val="Normal"/>
    <w:link w:val="FootnoteTextChar"/>
    <w:uiPriority w:val="99"/>
    <w:unhideWhenUsed/>
    <w:rsid w:val="008F4914"/>
    <w:rPr>
      <w:sz w:val="20"/>
      <w:szCs w:val="20"/>
    </w:rPr>
  </w:style>
  <w:style w:type="character" w:customStyle="1" w:styleId="FootnoteTextChar">
    <w:name w:val="Footnote Text Char"/>
    <w:aliases w:val="5_G Char"/>
    <w:basedOn w:val="DefaultParagraphFont"/>
    <w:link w:val="FootnoteText"/>
    <w:uiPriority w:val="99"/>
    <w:rsid w:val="008F4914"/>
    <w:rPr>
      <w:rFonts w:cstheme="minorHAnsi"/>
      <w:color w:val="000000"/>
      <w:sz w:val="20"/>
      <w:szCs w:val="20"/>
    </w:rPr>
  </w:style>
  <w:style w:type="character" w:styleId="FootnoteReference">
    <w:name w:val="footnote reference"/>
    <w:aliases w:val="Footnote symbol Car Zchn Zchn Char,Footnote Car Zchn Zchn Char,Times 10 Point Car Zchn Zchn Char,Exposant 3 Point Car Zchn Zchn Char,Footnote Reference Superscript Car Zchn Zchn Char,Char Char Char Char Char Car Zchn Zchn Char,4_G Ch"/>
    <w:basedOn w:val="DefaultParagraphFont"/>
    <w:link w:val="FootnotesymbolCarZchnZchn"/>
    <w:uiPriority w:val="99"/>
    <w:unhideWhenUsed/>
    <w:rsid w:val="008F4914"/>
    <w:rPr>
      <w:vertAlign w:val="superscript"/>
    </w:rPr>
  </w:style>
  <w:style w:type="character" w:styleId="Strong">
    <w:name w:val="Strong"/>
    <w:basedOn w:val="DefaultParagraphFont"/>
    <w:uiPriority w:val="22"/>
    <w:qFormat/>
    <w:rsid w:val="004E61EB"/>
    <w:rPr>
      <w:b/>
      <w:bC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F5 List Paragraph Char,OBC Bullet Char"/>
    <w:link w:val="ListParagraph"/>
    <w:uiPriority w:val="34"/>
    <w:qFormat/>
    <w:locked/>
    <w:rsid w:val="006F2D77"/>
    <w:rPr>
      <w:rFonts w:cstheme="minorHAnsi"/>
      <w:color w:val="000000"/>
      <w:sz w:val="24"/>
      <w:szCs w:val="24"/>
    </w:rPr>
  </w:style>
  <w:style w:type="paragraph" w:customStyle="1" w:styleId="questionheading">
    <w:name w:val="question heading"/>
    <w:basedOn w:val="Normal"/>
    <w:link w:val="questionheadingChar"/>
    <w:qFormat/>
    <w:rsid w:val="00C54669"/>
    <w:pPr>
      <w:spacing w:after="120"/>
      <w:ind w:left="-426" w:right="-187"/>
    </w:pPr>
    <w:rPr>
      <w:b/>
      <w:bCs/>
    </w:rPr>
  </w:style>
  <w:style w:type="paragraph" w:styleId="NoSpacing">
    <w:name w:val="No Spacing"/>
    <w:uiPriority w:val="1"/>
    <w:qFormat/>
    <w:rsid w:val="00A43F7B"/>
    <w:pPr>
      <w:autoSpaceDE w:val="0"/>
      <w:autoSpaceDN w:val="0"/>
      <w:adjustRightInd w:val="0"/>
    </w:pPr>
    <w:rPr>
      <w:rFonts w:cstheme="minorHAnsi"/>
      <w:color w:val="000000"/>
      <w:sz w:val="24"/>
      <w:szCs w:val="24"/>
    </w:rPr>
  </w:style>
  <w:style w:type="character" w:customStyle="1" w:styleId="questionheadingChar">
    <w:name w:val="question heading Char"/>
    <w:basedOn w:val="DefaultParagraphFont"/>
    <w:link w:val="questionheading"/>
    <w:rsid w:val="00C54669"/>
    <w:rPr>
      <w:rFonts w:cstheme="minorHAnsi"/>
      <w:b/>
      <w:bCs/>
      <w:color w:val="000000"/>
      <w:sz w:val="24"/>
      <w:szCs w:val="24"/>
    </w:rPr>
  </w:style>
  <w:style w:type="paragraph" w:customStyle="1" w:styleId="bullet">
    <w:name w:val="bullet"/>
    <w:basedOn w:val="ListParagraph"/>
    <w:link w:val="bulletChar"/>
    <w:qFormat/>
    <w:rsid w:val="00BD18F7"/>
    <w:pPr>
      <w:numPr>
        <w:numId w:val="21"/>
      </w:numPr>
      <w:ind w:left="-284" w:right="-188" w:hanging="142"/>
    </w:pPr>
  </w:style>
  <w:style w:type="character" w:customStyle="1" w:styleId="bulletChar">
    <w:name w:val="bullet Char"/>
    <w:basedOn w:val="ListParagraphChar"/>
    <w:link w:val="bullet"/>
    <w:rsid w:val="00BD18F7"/>
    <w:rPr>
      <w:rFonts w:cstheme="minorHAnsi"/>
      <w:color w:val="000000"/>
      <w:sz w:val="24"/>
      <w:szCs w:val="24"/>
    </w:rPr>
  </w:style>
  <w:style w:type="paragraph" w:styleId="BalloonText">
    <w:name w:val="Balloon Text"/>
    <w:basedOn w:val="Normal"/>
    <w:link w:val="BalloonTextChar"/>
    <w:uiPriority w:val="99"/>
    <w:semiHidden/>
    <w:unhideWhenUsed/>
    <w:rsid w:val="001E40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054"/>
    <w:rPr>
      <w:rFonts w:ascii="Segoe UI" w:hAnsi="Segoe UI" w:cs="Segoe UI"/>
      <w:color w:val="000000"/>
      <w:sz w:val="18"/>
      <w:szCs w:val="18"/>
    </w:rPr>
  </w:style>
  <w:style w:type="paragraph" w:styleId="Quote">
    <w:name w:val="Quote"/>
    <w:basedOn w:val="Normal"/>
    <w:next w:val="Normal"/>
    <w:link w:val="QuoteChar"/>
    <w:uiPriority w:val="29"/>
    <w:qFormat/>
    <w:rsid w:val="00C54669"/>
    <w:pPr>
      <w:autoSpaceDE/>
      <w:autoSpaceDN/>
      <w:adjustRightInd/>
      <w:spacing w:before="200" w:after="160"/>
      <w:ind w:left="720" w:right="864"/>
    </w:pPr>
    <w:rPr>
      <w:i/>
      <w:iCs/>
      <w:color w:val="auto"/>
      <w:szCs w:val="20"/>
    </w:rPr>
  </w:style>
  <w:style w:type="character" w:customStyle="1" w:styleId="QuoteChar">
    <w:name w:val="Quote Char"/>
    <w:basedOn w:val="DefaultParagraphFont"/>
    <w:link w:val="Quote"/>
    <w:uiPriority w:val="29"/>
    <w:rsid w:val="00C54669"/>
    <w:rPr>
      <w:rFonts w:cstheme="minorHAnsi"/>
      <w:i/>
      <w:iCs/>
      <w:sz w:val="24"/>
      <w:szCs w:val="20"/>
    </w:rPr>
  </w:style>
  <w:style w:type="character" w:styleId="CommentReference">
    <w:name w:val="annotation reference"/>
    <w:basedOn w:val="DefaultParagraphFont"/>
    <w:uiPriority w:val="99"/>
    <w:semiHidden/>
    <w:unhideWhenUsed/>
    <w:rsid w:val="0029366B"/>
    <w:rPr>
      <w:sz w:val="16"/>
      <w:szCs w:val="16"/>
    </w:rPr>
  </w:style>
  <w:style w:type="paragraph" w:styleId="CommentText">
    <w:name w:val="annotation text"/>
    <w:basedOn w:val="Normal"/>
    <w:link w:val="CommentTextChar"/>
    <w:uiPriority w:val="99"/>
    <w:semiHidden/>
    <w:unhideWhenUsed/>
    <w:rsid w:val="0029366B"/>
    <w:rPr>
      <w:sz w:val="20"/>
      <w:szCs w:val="20"/>
    </w:rPr>
  </w:style>
  <w:style w:type="character" w:customStyle="1" w:styleId="CommentTextChar">
    <w:name w:val="Comment Text Char"/>
    <w:basedOn w:val="DefaultParagraphFont"/>
    <w:link w:val="CommentText"/>
    <w:uiPriority w:val="99"/>
    <w:semiHidden/>
    <w:rsid w:val="0029366B"/>
    <w:rPr>
      <w:rFonts w:cstheme="minorHAnsi"/>
      <w:color w:val="000000"/>
      <w:sz w:val="20"/>
      <w:szCs w:val="20"/>
    </w:rPr>
  </w:style>
  <w:style w:type="paragraph" w:styleId="CommentSubject">
    <w:name w:val="annotation subject"/>
    <w:basedOn w:val="CommentText"/>
    <w:next w:val="CommentText"/>
    <w:link w:val="CommentSubjectChar"/>
    <w:uiPriority w:val="99"/>
    <w:semiHidden/>
    <w:unhideWhenUsed/>
    <w:rsid w:val="0029366B"/>
    <w:rPr>
      <w:b/>
      <w:bCs/>
    </w:rPr>
  </w:style>
  <w:style w:type="character" w:customStyle="1" w:styleId="CommentSubjectChar">
    <w:name w:val="Comment Subject Char"/>
    <w:basedOn w:val="CommentTextChar"/>
    <w:link w:val="CommentSubject"/>
    <w:uiPriority w:val="99"/>
    <w:semiHidden/>
    <w:rsid w:val="0029366B"/>
    <w:rPr>
      <w:rFonts w:cstheme="minorHAnsi"/>
      <w:b/>
      <w:bCs/>
      <w:color w:val="000000"/>
      <w:sz w:val="20"/>
      <w:szCs w:val="20"/>
    </w:rPr>
  </w:style>
  <w:style w:type="paragraph" w:customStyle="1" w:styleId="bullet2">
    <w:name w:val="bullet 2"/>
    <w:basedOn w:val="bullet"/>
    <w:link w:val="bullet2Char"/>
    <w:qFormat/>
    <w:rsid w:val="00160AAF"/>
    <w:pPr>
      <w:ind w:left="142"/>
    </w:pPr>
    <w:rPr>
      <w:b/>
      <w:i/>
    </w:rPr>
  </w:style>
  <w:style w:type="character" w:customStyle="1" w:styleId="bullet2Char">
    <w:name w:val="bullet 2 Char"/>
    <w:basedOn w:val="bulletChar"/>
    <w:link w:val="bullet2"/>
    <w:rsid w:val="00160AAF"/>
    <w:rPr>
      <w:rFonts w:cstheme="minorHAnsi"/>
      <w:b/>
      <w:i/>
      <w:color w:val="000000"/>
      <w:sz w:val="24"/>
      <w:szCs w:val="24"/>
    </w:rPr>
  </w:style>
  <w:style w:type="paragraph" w:styleId="Revision">
    <w:name w:val="Revision"/>
    <w:hidden/>
    <w:uiPriority w:val="99"/>
    <w:semiHidden/>
    <w:rsid w:val="00B5150A"/>
    <w:rPr>
      <w:rFonts w:cstheme="minorHAnsi"/>
      <w:color w:val="000000"/>
      <w:sz w:val="24"/>
      <w:szCs w:val="24"/>
    </w:rPr>
  </w:style>
  <w:style w:type="paragraph" w:customStyle="1" w:styleId="FootnotesymbolCarZchnZchn">
    <w:name w:val="Footnote symbol Car Zchn Zchn"/>
    <w:aliases w:val="Footnote Car Zchn Zchn,Times 10 Point Car Zchn Zchn,Exposant 3 Point Car Zchn Zchn,Footnote Reference Superscript Car Zchn Zchn,Char Char Char Char Char Car Zchn Zchn,BVI fnr Car Zchn Zchn,4_G,ftref,Ref"/>
    <w:basedOn w:val="Normal"/>
    <w:link w:val="FootnoteReference"/>
    <w:uiPriority w:val="99"/>
    <w:rsid w:val="006E76E4"/>
    <w:pPr>
      <w:suppressAutoHyphens/>
      <w:autoSpaceDE/>
      <w:autoSpaceDN/>
      <w:adjustRightInd/>
      <w:spacing w:after="160" w:line="240" w:lineRule="exact"/>
      <w:jc w:val="both"/>
    </w:pPr>
    <w:rPr>
      <w:rFonts w:cstheme="minorBidi"/>
      <w:color w:val="auto"/>
      <w:sz w:val="22"/>
      <w:szCs w:val="22"/>
      <w:vertAlign w:val="superscript"/>
    </w:rPr>
  </w:style>
  <w:style w:type="paragraph" w:customStyle="1" w:styleId="Body1">
    <w:name w:val="Body 1"/>
    <w:link w:val="Body1Char"/>
    <w:rsid w:val="007930BA"/>
    <w:pPr>
      <w:outlineLvl w:val="0"/>
    </w:pPr>
    <w:rPr>
      <w:rFonts w:ascii="Times New Roman" w:eastAsia="Arial Unicode MS" w:hAnsi="Times New Roman" w:cs="Times New Roman"/>
      <w:color w:val="000000"/>
      <w:sz w:val="24"/>
      <w:szCs w:val="20"/>
      <w:u w:color="000000"/>
      <w:lang w:eastAsia="en-GB"/>
    </w:rPr>
  </w:style>
  <w:style w:type="character" w:customStyle="1" w:styleId="Body1Char">
    <w:name w:val="Body 1 Char"/>
    <w:basedOn w:val="DefaultParagraphFont"/>
    <w:link w:val="Body1"/>
    <w:rsid w:val="007930BA"/>
    <w:rPr>
      <w:rFonts w:ascii="Times New Roman" w:eastAsia="Arial Unicode MS" w:hAnsi="Times New Roman" w:cs="Times New Roman"/>
      <w:color w:val="000000"/>
      <w:sz w:val="24"/>
      <w:szCs w:val="20"/>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77882">
      <w:bodyDiv w:val="1"/>
      <w:marLeft w:val="0"/>
      <w:marRight w:val="0"/>
      <w:marTop w:val="0"/>
      <w:marBottom w:val="0"/>
      <w:divBdr>
        <w:top w:val="none" w:sz="0" w:space="0" w:color="auto"/>
        <w:left w:val="none" w:sz="0" w:space="0" w:color="auto"/>
        <w:bottom w:val="none" w:sz="0" w:space="0" w:color="auto"/>
        <w:right w:val="none" w:sz="0" w:space="0" w:color="auto"/>
      </w:divBdr>
    </w:div>
    <w:div w:id="126898610">
      <w:bodyDiv w:val="1"/>
      <w:marLeft w:val="0"/>
      <w:marRight w:val="0"/>
      <w:marTop w:val="0"/>
      <w:marBottom w:val="0"/>
      <w:divBdr>
        <w:top w:val="none" w:sz="0" w:space="0" w:color="auto"/>
        <w:left w:val="none" w:sz="0" w:space="0" w:color="auto"/>
        <w:bottom w:val="none" w:sz="0" w:space="0" w:color="auto"/>
        <w:right w:val="none" w:sz="0" w:space="0" w:color="auto"/>
      </w:divBdr>
    </w:div>
    <w:div w:id="186720792">
      <w:bodyDiv w:val="1"/>
      <w:marLeft w:val="0"/>
      <w:marRight w:val="0"/>
      <w:marTop w:val="0"/>
      <w:marBottom w:val="0"/>
      <w:divBdr>
        <w:top w:val="none" w:sz="0" w:space="0" w:color="auto"/>
        <w:left w:val="none" w:sz="0" w:space="0" w:color="auto"/>
        <w:bottom w:val="none" w:sz="0" w:space="0" w:color="auto"/>
        <w:right w:val="none" w:sz="0" w:space="0" w:color="auto"/>
      </w:divBdr>
      <w:divsChild>
        <w:div w:id="881287549">
          <w:marLeft w:val="360"/>
          <w:marRight w:val="0"/>
          <w:marTop w:val="200"/>
          <w:marBottom w:val="0"/>
          <w:divBdr>
            <w:top w:val="none" w:sz="0" w:space="0" w:color="auto"/>
            <w:left w:val="none" w:sz="0" w:space="0" w:color="auto"/>
            <w:bottom w:val="none" w:sz="0" w:space="0" w:color="auto"/>
            <w:right w:val="none" w:sz="0" w:space="0" w:color="auto"/>
          </w:divBdr>
        </w:div>
      </w:divsChild>
    </w:div>
    <w:div w:id="428625109">
      <w:bodyDiv w:val="1"/>
      <w:marLeft w:val="0"/>
      <w:marRight w:val="0"/>
      <w:marTop w:val="0"/>
      <w:marBottom w:val="0"/>
      <w:divBdr>
        <w:top w:val="none" w:sz="0" w:space="0" w:color="auto"/>
        <w:left w:val="none" w:sz="0" w:space="0" w:color="auto"/>
        <w:bottom w:val="none" w:sz="0" w:space="0" w:color="auto"/>
        <w:right w:val="none" w:sz="0" w:space="0" w:color="auto"/>
      </w:divBdr>
      <w:divsChild>
        <w:div w:id="1607078554">
          <w:marLeft w:val="360"/>
          <w:marRight w:val="0"/>
          <w:marTop w:val="200"/>
          <w:marBottom w:val="0"/>
          <w:divBdr>
            <w:top w:val="none" w:sz="0" w:space="0" w:color="auto"/>
            <w:left w:val="none" w:sz="0" w:space="0" w:color="auto"/>
            <w:bottom w:val="none" w:sz="0" w:space="0" w:color="auto"/>
            <w:right w:val="none" w:sz="0" w:space="0" w:color="auto"/>
          </w:divBdr>
        </w:div>
      </w:divsChild>
    </w:div>
    <w:div w:id="464280203">
      <w:bodyDiv w:val="1"/>
      <w:marLeft w:val="0"/>
      <w:marRight w:val="0"/>
      <w:marTop w:val="0"/>
      <w:marBottom w:val="0"/>
      <w:divBdr>
        <w:top w:val="none" w:sz="0" w:space="0" w:color="auto"/>
        <w:left w:val="none" w:sz="0" w:space="0" w:color="auto"/>
        <w:bottom w:val="none" w:sz="0" w:space="0" w:color="auto"/>
        <w:right w:val="none" w:sz="0" w:space="0" w:color="auto"/>
      </w:divBdr>
    </w:div>
    <w:div w:id="564487639">
      <w:bodyDiv w:val="1"/>
      <w:marLeft w:val="0"/>
      <w:marRight w:val="0"/>
      <w:marTop w:val="0"/>
      <w:marBottom w:val="0"/>
      <w:divBdr>
        <w:top w:val="none" w:sz="0" w:space="0" w:color="auto"/>
        <w:left w:val="none" w:sz="0" w:space="0" w:color="auto"/>
        <w:bottom w:val="none" w:sz="0" w:space="0" w:color="auto"/>
        <w:right w:val="none" w:sz="0" w:space="0" w:color="auto"/>
      </w:divBdr>
    </w:div>
    <w:div w:id="810094623">
      <w:bodyDiv w:val="1"/>
      <w:marLeft w:val="0"/>
      <w:marRight w:val="0"/>
      <w:marTop w:val="0"/>
      <w:marBottom w:val="0"/>
      <w:divBdr>
        <w:top w:val="none" w:sz="0" w:space="0" w:color="auto"/>
        <w:left w:val="none" w:sz="0" w:space="0" w:color="auto"/>
        <w:bottom w:val="none" w:sz="0" w:space="0" w:color="auto"/>
        <w:right w:val="none" w:sz="0" w:space="0" w:color="auto"/>
      </w:divBdr>
      <w:divsChild>
        <w:div w:id="1005279520">
          <w:marLeft w:val="360"/>
          <w:marRight w:val="0"/>
          <w:marTop w:val="200"/>
          <w:marBottom w:val="0"/>
          <w:divBdr>
            <w:top w:val="none" w:sz="0" w:space="0" w:color="auto"/>
            <w:left w:val="none" w:sz="0" w:space="0" w:color="auto"/>
            <w:bottom w:val="none" w:sz="0" w:space="0" w:color="auto"/>
            <w:right w:val="none" w:sz="0" w:space="0" w:color="auto"/>
          </w:divBdr>
        </w:div>
      </w:divsChild>
    </w:div>
    <w:div w:id="1268734198">
      <w:bodyDiv w:val="1"/>
      <w:marLeft w:val="0"/>
      <w:marRight w:val="0"/>
      <w:marTop w:val="0"/>
      <w:marBottom w:val="0"/>
      <w:divBdr>
        <w:top w:val="none" w:sz="0" w:space="0" w:color="auto"/>
        <w:left w:val="none" w:sz="0" w:space="0" w:color="auto"/>
        <w:bottom w:val="none" w:sz="0" w:space="0" w:color="auto"/>
        <w:right w:val="none" w:sz="0" w:space="0" w:color="auto"/>
      </w:divBdr>
      <w:divsChild>
        <w:div w:id="441993530">
          <w:marLeft w:val="0"/>
          <w:marRight w:val="0"/>
          <w:marTop w:val="0"/>
          <w:marBottom w:val="0"/>
          <w:divBdr>
            <w:top w:val="none" w:sz="0" w:space="0" w:color="auto"/>
            <w:left w:val="none" w:sz="0" w:space="0" w:color="auto"/>
            <w:bottom w:val="none" w:sz="0" w:space="0" w:color="auto"/>
            <w:right w:val="none" w:sz="0" w:space="0" w:color="auto"/>
          </w:divBdr>
          <w:divsChild>
            <w:div w:id="673335405">
              <w:marLeft w:val="0"/>
              <w:marRight w:val="0"/>
              <w:marTop w:val="0"/>
              <w:marBottom w:val="0"/>
              <w:divBdr>
                <w:top w:val="none" w:sz="0" w:space="0" w:color="auto"/>
                <w:left w:val="none" w:sz="0" w:space="0" w:color="auto"/>
                <w:bottom w:val="none" w:sz="0" w:space="0" w:color="auto"/>
                <w:right w:val="none" w:sz="0" w:space="0" w:color="auto"/>
              </w:divBdr>
              <w:divsChild>
                <w:div w:id="588776332">
                  <w:marLeft w:val="0"/>
                  <w:marRight w:val="0"/>
                  <w:marTop w:val="0"/>
                  <w:marBottom w:val="0"/>
                  <w:divBdr>
                    <w:top w:val="none" w:sz="0" w:space="0" w:color="auto"/>
                    <w:left w:val="none" w:sz="0" w:space="0" w:color="auto"/>
                    <w:bottom w:val="none" w:sz="0" w:space="0" w:color="auto"/>
                    <w:right w:val="none" w:sz="0" w:space="0" w:color="auto"/>
                  </w:divBdr>
                  <w:divsChild>
                    <w:div w:id="1774396386">
                      <w:marLeft w:val="-225"/>
                      <w:marRight w:val="-225"/>
                      <w:marTop w:val="0"/>
                      <w:marBottom w:val="0"/>
                      <w:divBdr>
                        <w:top w:val="none" w:sz="0" w:space="0" w:color="auto"/>
                        <w:left w:val="none" w:sz="0" w:space="0" w:color="auto"/>
                        <w:bottom w:val="none" w:sz="0" w:space="0" w:color="auto"/>
                        <w:right w:val="none" w:sz="0" w:space="0" w:color="auto"/>
                      </w:divBdr>
                      <w:divsChild>
                        <w:div w:id="1444303473">
                          <w:marLeft w:val="0"/>
                          <w:marRight w:val="0"/>
                          <w:marTop w:val="300"/>
                          <w:marBottom w:val="300"/>
                          <w:divBdr>
                            <w:top w:val="none" w:sz="0" w:space="0" w:color="auto"/>
                            <w:left w:val="none" w:sz="0" w:space="0" w:color="auto"/>
                            <w:bottom w:val="none" w:sz="0" w:space="0" w:color="auto"/>
                            <w:right w:val="none" w:sz="0" w:space="0" w:color="auto"/>
                          </w:divBdr>
                          <w:divsChild>
                            <w:div w:id="20511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131544">
      <w:bodyDiv w:val="1"/>
      <w:marLeft w:val="0"/>
      <w:marRight w:val="0"/>
      <w:marTop w:val="0"/>
      <w:marBottom w:val="0"/>
      <w:divBdr>
        <w:top w:val="none" w:sz="0" w:space="0" w:color="auto"/>
        <w:left w:val="none" w:sz="0" w:space="0" w:color="auto"/>
        <w:bottom w:val="none" w:sz="0" w:space="0" w:color="auto"/>
        <w:right w:val="none" w:sz="0" w:space="0" w:color="auto"/>
      </w:divBdr>
    </w:div>
    <w:div w:id="1954701072">
      <w:bodyDiv w:val="1"/>
      <w:marLeft w:val="0"/>
      <w:marRight w:val="0"/>
      <w:marTop w:val="0"/>
      <w:marBottom w:val="0"/>
      <w:divBdr>
        <w:top w:val="none" w:sz="0" w:space="0" w:color="auto"/>
        <w:left w:val="none" w:sz="0" w:space="0" w:color="auto"/>
        <w:bottom w:val="none" w:sz="0" w:space="0" w:color="auto"/>
        <w:right w:val="none" w:sz="0" w:space="0" w:color="auto"/>
      </w:divBdr>
      <w:divsChild>
        <w:div w:id="684866797">
          <w:marLeft w:val="0"/>
          <w:marRight w:val="0"/>
          <w:marTop w:val="0"/>
          <w:marBottom w:val="0"/>
          <w:divBdr>
            <w:top w:val="none" w:sz="0" w:space="0" w:color="auto"/>
            <w:left w:val="none" w:sz="0" w:space="0" w:color="auto"/>
            <w:bottom w:val="none" w:sz="0" w:space="0" w:color="auto"/>
            <w:right w:val="none" w:sz="0" w:space="0" w:color="auto"/>
          </w:divBdr>
          <w:divsChild>
            <w:div w:id="2086491043">
              <w:marLeft w:val="0"/>
              <w:marRight w:val="0"/>
              <w:marTop w:val="0"/>
              <w:marBottom w:val="0"/>
              <w:divBdr>
                <w:top w:val="none" w:sz="0" w:space="0" w:color="auto"/>
                <w:left w:val="none" w:sz="0" w:space="0" w:color="auto"/>
                <w:bottom w:val="none" w:sz="0" w:space="0" w:color="auto"/>
                <w:right w:val="none" w:sz="0" w:space="0" w:color="auto"/>
              </w:divBdr>
              <w:divsChild>
                <w:div w:id="1003553535">
                  <w:marLeft w:val="0"/>
                  <w:marRight w:val="0"/>
                  <w:marTop w:val="0"/>
                  <w:marBottom w:val="0"/>
                  <w:divBdr>
                    <w:top w:val="none" w:sz="0" w:space="0" w:color="auto"/>
                    <w:left w:val="none" w:sz="0" w:space="0" w:color="auto"/>
                    <w:bottom w:val="none" w:sz="0" w:space="0" w:color="auto"/>
                    <w:right w:val="none" w:sz="0" w:space="0" w:color="auto"/>
                  </w:divBdr>
                  <w:divsChild>
                    <w:div w:id="524177548">
                      <w:marLeft w:val="0"/>
                      <w:marRight w:val="0"/>
                      <w:marTop w:val="0"/>
                      <w:marBottom w:val="0"/>
                      <w:divBdr>
                        <w:top w:val="none" w:sz="0" w:space="0" w:color="auto"/>
                        <w:left w:val="none" w:sz="0" w:space="0" w:color="auto"/>
                        <w:bottom w:val="none" w:sz="0" w:space="0" w:color="auto"/>
                        <w:right w:val="none" w:sz="0" w:space="0" w:color="auto"/>
                      </w:divBdr>
                      <w:divsChild>
                        <w:div w:id="248849711">
                          <w:marLeft w:val="0"/>
                          <w:marRight w:val="0"/>
                          <w:marTop w:val="0"/>
                          <w:marBottom w:val="0"/>
                          <w:divBdr>
                            <w:top w:val="none" w:sz="0" w:space="0" w:color="auto"/>
                            <w:left w:val="none" w:sz="0" w:space="0" w:color="auto"/>
                            <w:bottom w:val="none" w:sz="0" w:space="0" w:color="auto"/>
                            <w:right w:val="none" w:sz="0" w:space="0" w:color="auto"/>
                          </w:divBdr>
                          <w:divsChild>
                            <w:div w:id="1184050756">
                              <w:marLeft w:val="0"/>
                              <w:marRight w:val="0"/>
                              <w:marTop w:val="0"/>
                              <w:marBottom w:val="0"/>
                              <w:divBdr>
                                <w:top w:val="none" w:sz="0" w:space="0" w:color="auto"/>
                                <w:left w:val="none" w:sz="0" w:space="0" w:color="auto"/>
                                <w:bottom w:val="none" w:sz="0" w:space="0" w:color="auto"/>
                                <w:right w:val="none" w:sz="0" w:space="0" w:color="auto"/>
                              </w:divBdr>
                              <w:divsChild>
                                <w:div w:id="322662456">
                                  <w:marLeft w:val="0"/>
                                  <w:marRight w:val="0"/>
                                  <w:marTop w:val="75"/>
                                  <w:marBottom w:val="0"/>
                                  <w:divBdr>
                                    <w:top w:val="none" w:sz="0" w:space="0" w:color="auto"/>
                                    <w:left w:val="none" w:sz="0" w:space="0" w:color="auto"/>
                                    <w:bottom w:val="none" w:sz="0" w:space="0" w:color="auto"/>
                                    <w:right w:val="none" w:sz="0" w:space="0" w:color="auto"/>
                                  </w:divBdr>
                                  <w:divsChild>
                                    <w:div w:id="1421369034">
                                      <w:marLeft w:val="0"/>
                                      <w:marRight w:val="0"/>
                                      <w:marTop w:val="0"/>
                                      <w:marBottom w:val="0"/>
                                      <w:divBdr>
                                        <w:top w:val="none" w:sz="0" w:space="0" w:color="auto"/>
                                        <w:left w:val="none" w:sz="0" w:space="0" w:color="auto"/>
                                        <w:bottom w:val="none" w:sz="0" w:space="0" w:color="auto"/>
                                        <w:right w:val="none" w:sz="0" w:space="0" w:color="auto"/>
                                      </w:divBdr>
                                      <w:divsChild>
                                        <w:div w:id="1311441068">
                                          <w:marLeft w:val="0"/>
                                          <w:marRight w:val="0"/>
                                          <w:marTop w:val="0"/>
                                          <w:marBottom w:val="0"/>
                                          <w:divBdr>
                                            <w:top w:val="none" w:sz="0" w:space="0" w:color="auto"/>
                                            <w:left w:val="none" w:sz="0" w:space="0" w:color="auto"/>
                                            <w:bottom w:val="none" w:sz="0" w:space="0" w:color="auto"/>
                                            <w:right w:val="none" w:sz="0" w:space="0" w:color="auto"/>
                                          </w:divBdr>
                                          <w:divsChild>
                                            <w:div w:id="827943223">
                                              <w:marLeft w:val="0"/>
                                              <w:marRight w:val="0"/>
                                              <w:marTop w:val="0"/>
                                              <w:marBottom w:val="0"/>
                                              <w:divBdr>
                                                <w:top w:val="none" w:sz="0" w:space="0" w:color="auto"/>
                                                <w:left w:val="none" w:sz="0" w:space="0" w:color="auto"/>
                                                <w:bottom w:val="none" w:sz="0" w:space="0" w:color="auto"/>
                                                <w:right w:val="none" w:sz="0" w:space="0" w:color="auto"/>
                                              </w:divBdr>
                                            </w:div>
                                            <w:div w:id="210792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5099686">
      <w:bodyDiv w:val="1"/>
      <w:marLeft w:val="0"/>
      <w:marRight w:val="0"/>
      <w:marTop w:val="0"/>
      <w:marBottom w:val="0"/>
      <w:divBdr>
        <w:top w:val="none" w:sz="0" w:space="0" w:color="auto"/>
        <w:left w:val="none" w:sz="0" w:space="0" w:color="auto"/>
        <w:bottom w:val="none" w:sz="0" w:space="0" w:color="auto"/>
        <w:right w:val="none" w:sz="0" w:space="0" w:color="auto"/>
      </w:divBdr>
      <w:divsChild>
        <w:div w:id="131584254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qhria.scottishhumanrights.com/eqhriagoodpractice.htm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eqhria.scottishhumanrights.com/eqhrialpaddedvalue.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qhria.scottishhumanrights.com/eqhriaotherresources.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qualityhumanrights.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qhria.scottishhumanrights.com/eqhriatrainingresources.html" TargetMode="External"/><Relationship Id="rId23" Type="http://schemas.openxmlformats.org/officeDocument/2006/relationships/fontTable" Target="fontTable.xml"/><Relationship Id="rId10" Type="http://schemas.openxmlformats.org/officeDocument/2006/relationships/hyperlink" Target="http://eqhria.scottishhumanrights.com/index.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p.ohchr.org/documents/dpage_e.aspx?si=A/HRC/40/57" TargetMode="External"/><Relationship Id="rId14" Type="http://schemas.openxmlformats.org/officeDocument/2006/relationships/hyperlink" Target="http://eqhria.scottishhumanrights.com/eqhriapilotstudies.html"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eqhria.scottishhumanrights.com/index.html" TargetMode="External"/><Relationship Id="rId13" Type="http://schemas.openxmlformats.org/officeDocument/2006/relationships/hyperlink" Target="http://eqhria.scottishhumanrights.com/eqhriatrainingresources.html" TargetMode="External"/><Relationship Id="rId3" Type="http://schemas.openxmlformats.org/officeDocument/2006/relationships/hyperlink" Target="https://www.refworld.org/pdfid/4538838d0.pdf" TargetMode="External"/><Relationship Id="rId7" Type="http://schemas.openxmlformats.org/officeDocument/2006/relationships/hyperlink" Target="https://www.ohchr.org/EN/NewsEvents/Pages/DisplayNews.aspx?NewsID=24090&amp;LangID=E" TargetMode="External"/><Relationship Id="rId12" Type="http://schemas.openxmlformats.org/officeDocument/2006/relationships/hyperlink" Target="http://eqhria.scottishhumanrights.com/eqhriapilotstudies.html" TargetMode="External"/><Relationship Id="rId2" Type="http://schemas.openxmlformats.org/officeDocument/2006/relationships/hyperlink" Target="https://www.refworld.org/pdfid/4538838c22.pdf" TargetMode="External"/><Relationship Id="rId1" Type="http://schemas.openxmlformats.org/officeDocument/2006/relationships/hyperlink" Target="https://www.refworld.org/pdfid/47a7079a1.pdf" TargetMode="External"/><Relationship Id="rId6" Type="http://schemas.openxmlformats.org/officeDocument/2006/relationships/hyperlink" Target="https://documents-dds-ny.un.org/doc/UNDOC/GEN/G18/443/52/PDF/G1844352.pdf?OpenElement" TargetMode="External"/><Relationship Id="rId11" Type="http://schemas.openxmlformats.org/officeDocument/2006/relationships/hyperlink" Target="http://eqhria.scottishhumanrights.com/eqhriagoodpractice.html" TargetMode="External"/><Relationship Id="rId5" Type="http://schemas.openxmlformats.org/officeDocument/2006/relationships/hyperlink" Target="http://www.justiciafiscal.org/wp-content/uploads/2014/06/A_HRC_26_28_ENG.pdf" TargetMode="External"/><Relationship Id="rId10" Type="http://schemas.openxmlformats.org/officeDocument/2006/relationships/hyperlink" Target="http://eqhria.scottishhumanrights.com/eqhrialpaddedvalue.html" TargetMode="External"/><Relationship Id="rId4" Type="http://schemas.openxmlformats.org/officeDocument/2006/relationships/hyperlink" Target="https://www.refworld.org/docid/47b17b5b39c.html" TargetMode="External"/><Relationship Id="rId9" Type="http://schemas.openxmlformats.org/officeDocument/2006/relationships/hyperlink" Target="http://www.equalityhumanrights.com/" TargetMode="External"/><Relationship Id="rId14" Type="http://schemas.openxmlformats.org/officeDocument/2006/relationships/hyperlink" Target="http://eqhria.scottishhumanrights.com/eqhriaotherresour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7C93C-E1A6-447F-850F-9C80F194F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3316</Words>
  <Characters>18902</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Hosie A (Alison)</dc:creator>
  <cp:keywords/>
  <dc:description/>
  <cp:lastModifiedBy>Scott C (Carolyn)</cp:lastModifiedBy>
  <cp:revision>2</cp:revision>
  <cp:lastPrinted>2019-08-13T13:18:00Z</cp:lastPrinted>
  <dcterms:created xsi:type="dcterms:W3CDTF">2019-09-24T15:32:00Z</dcterms:created>
  <dcterms:modified xsi:type="dcterms:W3CDTF">2019-09-24T15:32:00Z</dcterms:modified>
</cp:coreProperties>
</file>