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3B5" w:rsidRPr="00EE622E" w:rsidRDefault="00E803B5" w:rsidP="00F265AD">
      <w:pPr>
        <w:spacing w:line="240" w:lineRule="auto"/>
        <w:rPr>
          <w:rFonts w:ascii="Arial" w:hAnsi="Arial" w:cs="Arial"/>
          <w:b/>
          <w:bCs/>
          <w:color w:val="000000"/>
          <w:sz w:val="24"/>
          <w:szCs w:val="24"/>
        </w:rPr>
      </w:pPr>
      <w:bookmarkStart w:id="0" w:name="_GoBack"/>
      <w:bookmarkEnd w:id="0"/>
      <w:r w:rsidRPr="00EE622E">
        <w:rPr>
          <w:rFonts w:ascii="Arial" w:hAnsi="Arial" w:cs="Arial"/>
          <w:noProof/>
          <w:sz w:val="24"/>
          <w:szCs w:val="24"/>
          <w:lang w:eastAsia="en-GB"/>
        </w:rPr>
        <w:drawing>
          <wp:anchor distT="0" distB="0" distL="114300" distR="114300" simplePos="0" relativeHeight="251659264" behindDoc="1" locked="0" layoutInCell="1" allowOverlap="1" wp14:anchorId="7F661A62" wp14:editId="0B0F2687">
            <wp:simplePos x="0" y="0"/>
            <wp:positionH relativeFrom="column">
              <wp:posOffset>2051685</wp:posOffset>
            </wp:positionH>
            <wp:positionV relativeFrom="paragraph">
              <wp:posOffset>-231140</wp:posOffset>
            </wp:positionV>
            <wp:extent cx="1503680" cy="880745"/>
            <wp:effectExtent l="0" t="0" r="1270" b="0"/>
            <wp:wrapTight wrapText="bothSides">
              <wp:wrapPolygon edited="0">
                <wp:start x="0" y="0"/>
                <wp:lineTo x="0" y="21024"/>
                <wp:lineTo x="21345" y="21024"/>
                <wp:lineTo x="213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3680" cy="880745"/>
                    </a:xfrm>
                    <a:prstGeom prst="rect">
                      <a:avLst/>
                    </a:prstGeom>
                    <a:noFill/>
                  </pic:spPr>
                </pic:pic>
              </a:graphicData>
            </a:graphic>
            <wp14:sizeRelH relativeFrom="page">
              <wp14:pctWidth>0</wp14:pctWidth>
            </wp14:sizeRelH>
            <wp14:sizeRelV relativeFrom="page">
              <wp14:pctHeight>0</wp14:pctHeight>
            </wp14:sizeRelV>
          </wp:anchor>
        </w:drawing>
      </w:r>
    </w:p>
    <w:p w:rsidR="00E803B5" w:rsidRPr="00EE622E" w:rsidRDefault="00E803B5" w:rsidP="00F265AD">
      <w:pPr>
        <w:spacing w:line="240" w:lineRule="auto"/>
        <w:rPr>
          <w:rFonts w:ascii="Arial" w:hAnsi="Arial" w:cs="Arial"/>
          <w:b/>
          <w:bCs/>
          <w:color w:val="000000"/>
          <w:sz w:val="24"/>
          <w:szCs w:val="24"/>
        </w:rPr>
      </w:pPr>
    </w:p>
    <w:p w:rsidR="00E803B5" w:rsidRPr="00EE622E" w:rsidRDefault="00E803B5" w:rsidP="00F265AD">
      <w:pPr>
        <w:spacing w:line="240" w:lineRule="auto"/>
        <w:rPr>
          <w:rFonts w:ascii="Arial" w:hAnsi="Arial" w:cs="Arial"/>
          <w:b/>
          <w:bCs/>
          <w:color w:val="000000"/>
          <w:sz w:val="24"/>
          <w:szCs w:val="24"/>
        </w:rPr>
      </w:pPr>
    </w:p>
    <w:p w:rsidR="00E803B5" w:rsidRPr="00EE622E" w:rsidRDefault="00165DCF" w:rsidP="00F265AD">
      <w:pPr>
        <w:spacing w:line="240" w:lineRule="auto"/>
        <w:jc w:val="center"/>
        <w:rPr>
          <w:rFonts w:ascii="Arial" w:hAnsi="Arial" w:cs="Arial"/>
          <w:b/>
          <w:bCs/>
          <w:color w:val="000000"/>
          <w:sz w:val="24"/>
          <w:szCs w:val="24"/>
        </w:rPr>
      </w:pPr>
      <w:r w:rsidRPr="00EE622E">
        <w:rPr>
          <w:rFonts w:ascii="Arial" w:hAnsi="Arial" w:cs="Arial"/>
          <w:b/>
          <w:bCs/>
          <w:color w:val="000000"/>
          <w:sz w:val="24"/>
          <w:szCs w:val="24"/>
        </w:rPr>
        <w:t>Police and Fire Reform (Scotland) Act 2012</w:t>
      </w:r>
    </w:p>
    <w:p w:rsidR="00165DCF" w:rsidRPr="00EE622E" w:rsidRDefault="00FE3BF5" w:rsidP="00F265AD">
      <w:pPr>
        <w:spacing w:line="240" w:lineRule="auto"/>
        <w:jc w:val="center"/>
        <w:rPr>
          <w:rFonts w:ascii="Arial" w:hAnsi="Arial" w:cs="Arial"/>
          <w:b/>
          <w:bCs/>
          <w:color w:val="000000"/>
          <w:sz w:val="24"/>
          <w:szCs w:val="24"/>
        </w:rPr>
      </w:pPr>
      <w:r w:rsidRPr="00EE622E">
        <w:rPr>
          <w:rFonts w:ascii="Arial" w:hAnsi="Arial" w:cs="Arial"/>
          <w:b/>
          <w:bCs/>
          <w:color w:val="000000"/>
          <w:sz w:val="24"/>
          <w:szCs w:val="24"/>
        </w:rPr>
        <w:t>Post-legislative scrutiny</w:t>
      </w:r>
    </w:p>
    <w:p w:rsidR="00E803B5" w:rsidRPr="00EE622E" w:rsidRDefault="00E54D54" w:rsidP="00F265AD">
      <w:pPr>
        <w:spacing w:line="240" w:lineRule="auto"/>
        <w:jc w:val="center"/>
        <w:rPr>
          <w:rFonts w:ascii="Arial" w:hAnsi="Arial" w:cs="Arial"/>
          <w:b/>
          <w:bCs/>
          <w:color w:val="000000"/>
          <w:sz w:val="24"/>
          <w:szCs w:val="24"/>
        </w:rPr>
      </w:pPr>
      <w:r w:rsidRPr="00EE622E">
        <w:rPr>
          <w:rFonts w:ascii="Arial" w:hAnsi="Arial" w:cs="Arial"/>
          <w:b/>
          <w:bCs/>
          <w:color w:val="000000"/>
          <w:sz w:val="24"/>
          <w:szCs w:val="24"/>
        </w:rPr>
        <w:t xml:space="preserve">Written evidence to the </w:t>
      </w:r>
      <w:r w:rsidR="00165DCF" w:rsidRPr="00EE622E">
        <w:rPr>
          <w:rFonts w:ascii="Arial" w:hAnsi="Arial" w:cs="Arial"/>
          <w:b/>
          <w:bCs/>
          <w:color w:val="000000"/>
          <w:sz w:val="24"/>
          <w:szCs w:val="24"/>
        </w:rPr>
        <w:t>Justice Committee</w:t>
      </w:r>
    </w:p>
    <w:p w:rsidR="00E803B5" w:rsidRPr="00EE622E" w:rsidRDefault="00E54D54" w:rsidP="00F265AD">
      <w:pPr>
        <w:spacing w:line="240" w:lineRule="auto"/>
        <w:jc w:val="center"/>
        <w:rPr>
          <w:rFonts w:ascii="Arial" w:hAnsi="Arial" w:cs="Arial"/>
          <w:b/>
          <w:bCs/>
          <w:color w:val="000000"/>
          <w:sz w:val="24"/>
          <w:szCs w:val="24"/>
        </w:rPr>
      </w:pPr>
      <w:r w:rsidRPr="00EE622E">
        <w:rPr>
          <w:rFonts w:ascii="Arial" w:hAnsi="Arial" w:cs="Arial"/>
          <w:b/>
          <w:bCs/>
          <w:color w:val="000000"/>
          <w:sz w:val="24"/>
          <w:szCs w:val="24"/>
        </w:rPr>
        <w:t>Scottish Human Rights Commission</w:t>
      </w:r>
    </w:p>
    <w:p w:rsidR="00EF2E67" w:rsidRPr="00EE622E" w:rsidRDefault="00133D9D" w:rsidP="00F265AD">
      <w:pPr>
        <w:spacing w:line="240" w:lineRule="auto"/>
        <w:jc w:val="center"/>
        <w:rPr>
          <w:rFonts w:ascii="Arial" w:hAnsi="Arial" w:cs="Arial"/>
          <w:b/>
          <w:bCs/>
          <w:color w:val="000000"/>
          <w:sz w:val="24"/>
          <w:szCs w:val="24"/>
        </w:rPr>
      </w:pPr>
      <w:r>
        <w:rPr>
          <w:rFonts w:ascii="Arial" w:hAnsi="Arial" w:cs="Arial"/>
          <w:b/>
          <w:bCs/>
          <w:color w:val="000000"/>
          <w:sz w:val="24"/>
          <w:szCs w:val="24"/>
        </w:rPr>
        <w:t>24</w:t>
      </w:r>
      <w:r w:rsidR="00165DCF" w:rsidRPr="00EE622E">
        <w:rPr>
          <w:rFonts w:ascii="Arial" w:hAnsi="Arial" w:cs="Arial"/>
          <w:b/>
          <w:bCs/>
          <w:color w:val="000000"/>
          <w:sz w:val="24"/>
          <w:szCs w:val="24"/>
        </w:rPr>
        <w:t xml:space="preserve"> May 2018</w:t>
      </w:r>
    </w:p>
    <w:p w:rsidR="009C324C" w:rsidRPr="00EE622E" w:rsidRDefault="00E803B5" w:rsidP="00F265AD">
      <w:pPr>
        <w:pBdr>
          <w:top w:val="single" w:sz="4" w:space="1" w:color="000000"/>
          <w:bottom w:val="single" w:sz="4" w:space="1" w:color="000000"/>
        </w:pBdr>
        <w:tabs>
          <w:tab w:val="num" w:pos="0"/>
        </w:tabs>
        <w:autoSpaceDE w:val="0"/>
        <w:spacing w:line="240" w:lineRule="auto"/>
        <w:ind w:right="237"/>
        <w:jc w:val="both"/>
        <w:rPr>
          <w:rFonts w:ascii="Arial" w:hAnsi="Arial" w:cs="Arial"/>
          <w:sz w:val="24"/>
          <w:szCs w:val="24"/>
        </w:rPr>
      </w:pPr>
      <w:r w:rsidRPr="00EE622E">
        <w:rPr>
          <w:rFonts w:ascii="Arial" w:hAnsi="Arial" w:cs="Arial"/>
          <w:sz w:val="24"/>
          <w:szCs w:val="24"/>
        </w:rPr>
        <w:t>The Scotti</w:t>
      </w:r>
      <w:r w:rsidR="00C1478D" w:rsidRPr="00EE622E">
        <w:rPr>
          <w:rFonts w:ascii="Arial" w:hAnsi="Arial" w:cs="Arial"/>
          <w:sz w:val="24"/>
          <w:szCs w:val="24"/>
        </w:rPr>
        <w:t xml:space="preserve">sh Human Rights Commission </w:t>
      </w:r>
      <w:r w:rsidRPr="00EE622E">
        <w:rPr>
          <w:rFonts w:ascii="Arial" w:hAnsi="Arial" w:cs="Arial"/>
          <w:sz w:val="24"/>
          <w:szCs w:val="24"/>
        </w:rPr>
        <w:t xml:space="preserve">was established by The Scottish Commission for Human Rights Act 2006, and formed in 2008. The Commission is the national human rights institution for Scotland and is independent of the Scottish Government and Parliament in the exercise of its functions. The Commission has a general duty to promote human rights and a series of specific powers to protect human rights for everyone in Scotland. </w:t>
      </w:r>
    </w:p>
    <w:p w:rsidR="00EE622E" w:rsidRPr="00EE622E" w:rsidRDefault="00EE622E" w:rsidP="00F265AD">
      <w:pPr>
        <w:spacing w:line="240" w:lineRule="auto"/>
        <w:rPr>
          <w:rFonts w:ascii="Arial" w:hAnsi="Arial" w:cs="Arial"/>
          <w:b/>
          <w:sz w:val="24"/>
          <w:szCs w:val="24"/>
        </w:rPr>
      </w:pPr>
      <w:r w:rsidRPr="00EE622E">
        <w:rPr>
          <w:rFonts w:ascii="Arial" w:hAnsi="Arial" w:cs="Arial"/>
          <w:b/>
          <w:sz w:val="24"/>
          <w:szCs w:val="24"/>
        </w:rPr>
        <w:t>Introduction</w:t>
      </w:r>
    </w:p>
    <w:p w:rsidR="00BA0B8D" w:rsidRDefault="00BA0B8D" w:rsidP="00F265AD">
      <w:pPr>
        <w:pStyle w:val="NormalWeb"/>
        <w:numPr>
          <w:ilvl w:val="0"/>
          <w:numId w:val="24"/>
        </w:numPr>
        <w:shd w:val="clear" w:color="auto" w:fill="FFFFFF"/>
        <w:rPr>
          <w:rFonts w:ascii="Arial" w:hAnsi="Arial" w:cs="Arial"/>
        </w:rPr>
      </w:pPr>
      <w:r>
        <w:rPr>
          <w:rFonts w:ascii="Arial" w:hAnsi="Arial" w:cs="Arial"/>
        </w:rPr>
        <w:t>The Scottish Human Rights Commission (the “Commission”) welcomes the opportunity to submit evidence to the Justice Committee’s post-legislative scrutiny of the Police and Fire Reform (Scotland) Act 2012.</w:t>
      </w:r>
    </w:p>
    <w:p w:rsidR="00BA0B8D" w:rsidRDefault="00BA0B8D" w:rsidP="00BA0B8D">
      <w:pPr>
        <w:pStyle w:val="NormalWeb"/>
        <w:shd w:val="clear" w:color="auto" w:fill="FFFFFF"/>
        <w:ind w:left="360"/>
        <w:rPr>
          <w:rFonts w:ascii="Arial" w:hAnsi="Arial" w:cs="Arial"/>
        </w:rPr>
      </w:pPr>
    </w:p>
    <w:p w:rsidR="00EE622E" w:rsidRPr="00EE622E" w:rsidRDefault="00EE622E" w:rsidP="00F265AD">
      <w:pPr>
        <w:pStyle w:val="NormalWeb"/>
        <w:numPr>
          <w:ilvl w:val="0"/>
          <w:numId w:val="24"/>
        </w:numPr>
        <w:shd w:val="clear" w:color="auto" w:fill="FFFFFF"/>
        <w:rPr>
          <w:rFonts w:ascii="Arial" w:hAnsi="Arial" w:cs="Arial"/>
        </w:rPr>
      </w:pPr>
      <w:r w:rsidRPr="00EE622E">
        <w:rPr>
          <w:rFonts w:ascii="Arial" w:hAnsi="Arial" w:cs="Arial"/>
        </w:rPr>
        <w:t xml:space="preserve">The </w:t>
      </w:r>
      <w:r w:rsidR="00BA0B8D">
        <w:rPr>
          <w:rFonts w:ascii="Arial" w:hAnsi="Arial" w:cs="Arial"/>
        </w:rPr>
        <w:t>Commission</w:t>
      </w:r>
      <w:r w:rsidRPr="00EE622E">
        <w:rPr>
          <w:rFonts w:ascii="Arial" w:hAnsi="Arial" w:cs="Arial"/>
        </w:rPr>
        <w:t xml:space="preserve"> submitted stage 1 evidence to the Justice Committee in March 2012 on the then Police and Fire Reform (Scotland) Bill (the “2012 submission”).  The Commission subsequently submitted a detailed response to the Scottish Government Consultation on Proposals for Regulations relating to Investigations.  </w:t>
      </w:r>
      <w:r w:rsidR="00BA0B8D">
        <w:rPr>
          <w:rFonts w:ascii="Arial" w:hAnsi="Arial" w:cs="Arial"/>
        </w:rPr>
        <w:t>Those</w:t>
      </w:r>
      <w:r w:rsidRPr="00EE622E">
        <w:rPr>
          <w:rFonts w:ascii="Arial" w:hAnsi="Arial" w:cs="Arial"/>
        </w:rPr>
        <w:t xml:space="preserve"> proposals formed the basis of the Police Investigations and Review Commissioner (Investigations Procedure, Serious Incidents and Specified Weapons) Regulations 2013</w:t>
      </w:r>
      <w:r w:rsidR="00C32CDB">
        <w:rPr>
          <w:rFonts w:ascii="Arial" w:hAnsi="Arial" w:cs="Arial"/>
        </w:rPr>
        <w:t>.</w:t>
      </w:r>
      <w:r w:rsidRPr="00EE622E">
        <w:rPr>
          <w:rFonts w:ascii="Arial" w:hAnsi="Arial" w:cs="Arial"/>
        </w:rPr>
        <w:t xml:space="preserve">  </w:t>
      </w:r>
    </w:p>
    <w:p w:rsidR="00EE622E" w:rsidRPr="00EE622E" w:rsidRDefault="00EE622E" w:rsidP="00F265AD">
      <w:pPr>
        <w:pStyle w:val="NormalWeb"/>
        <w:shd w:val="clear" w:color="auto" w:fill="FFFFFF"/>
        <w:rPr>
          <w:rFonts w:ascii="Arial" w:hAnsi="Arial" w:cs="Arial"/>
        </w:rPr>
      </w:pPr>
    </w:p>
    <w:p w:rsidR="00EE622E" w:rsidRDefault="00EE622E" w:rsidP="00F265AD">
      <w:pPr>
        <w:pStyle w:val="NormalWeb"/>
        <w:numPr>
          <w:ilvl w:val="0"/>
          <w:numId w:val="24"/>
        </w:numPr>
        <w:shd w:val="clear" w:color="auto" w:fill="FFFFFF"/>
        <w:rPr>
          <w:rFonts w:ascii="Arial" w:hAnsi="Arial" w:cs="Arial"/>
        </w:rPr>
      </w:pPr>
      <w:r w:rsidRPr="00EE622E">
        <w:rPr>
          <w:rFonts w:ascii="Arial" w:hAnsi="Arial" w:cs="Arial"/>
        </w:rPr>
        <w:t xml:space="preserve">The Commission made a number of recommendations in these </w:t>
      </w:r>
      <w:r>
        <w:rPr>
          <w:rFonts w:ascii="Arial" w:hAnsi="Arial" w:cs="Arial"/>
        </w:rPr>
        <w:t>submissions</w:t>
      </w:r>
      <w:r w:rsidRPr="00EE622E">
        <w:rPr>
          <w:rFonts w:ascii="Arial" w:hAnsi="Arial" w:cs="Arial"/>
        </w:rPr>
        <w:t xml:space="preserve">, the majority of which remain outstanding and highly relevant.  </w:t>
      </w:r>
      <w:r>
        <w:rPr>
          <w:rFonts w:ascii="Arial" w:hAnsi="Arial" w:cs="Arial"/>
        </w:rPr>
        <w:t xml:space="preserve">The Commission draws out key recommendations relevant to the Committee’s post-legislative scrutiny below.  </w:t>
      </w:r>
    </w:p>
    <w:p w:rsidR="00EE622E" w:rsidRDefault="00EE622E" w:rsidP="00F265AD">
      <w:pPr>
        <w:pStyle w:val="NormalWeb"/>
        <w:shd w:val="clear" w:color="auto" w:fill="FFFFFF"/>
        <w:ind w:left="360"/>
        <w:rPr>
          <w:rFonts w:ascii="Arial" w:hAnsi="Arial" w:cs="Arial"/>
        </w:rPr>
      </w:pPr>
    </w:p>
    <w:p w:rsidR="00EE622E" w:rsidRDefault="00EE622E" w:rsidP="00F265AD">
      <w:pPr>
        <w:pStyle w:val="NormalWeb"/>
        <w:shd w:val="clear" w:color="auto" w:fill="FFFFFF"/>
        <w:rPr>
          <w:rFonts w:ascii="Arial" w:hAnsi="Arial" w:cs="Arial"/>
          <w:b/>
        </w:rPr>
      </w:pPr>
      <w:r>
        <w:rPr>
          <w:rFonts w:ascii="Arial" w:hAnsi="Arial" w:cs="Arial"/>
          <w:b/>
        </w:rPr>
        <w:t xml:space="preserve">Human rights context </w:t>
      </w:r>
    </w:p>
    <w:p w:rsidR="00EE622E" w:rsidRPr="00EE622E" w:rsidRDefault="00EE622E" w:rsidP="00F265AD">
      <w:pPr>
        <w:pStyle w:val="NormalWeb"/>
        <w:shd w:val="clear" w:color="auto" w:fill="FFFFFF"/>
        <w:rPr>
          <w:rFonts w:ascii="Arial" w:hAnsi="Arial" w:cs="Arial"/>
          <w:b/>
        </w:rPr>
      </w:pPr>
    </w:p>
    <w:p w:rsidR="00EE622E" w:rsidRDefault="00EE622E" w:rsidP="00F265AD">
      <w:pPr>
        <w:pStyle w:val="NormalWeb"/>
        <w:numPr>
          <w:ilvl w:val="0"/>
          <w:numId w:val="24"/>
        </w:numPr>
        <w:shd w:val="clear" w:color="auto" w:fill="FFFFFF"/>
        <w:rPr>
          <w:rFonts w:ascii="Arial" w:hAnsi="Arial" w:cs="Arial"/>
        </w:rPr>
      </w:pPr>
      <w:r>
        <w:rPr>
          <w:rFonts w:ascii="Arial" w:hAnsi="Arial" w:cs="Arial"/>
        </w:rPr>
        <w:t>The Commission made clear in its 2012 submission its belief that the development of a single police force and oversight structures in Scotland was a unique opportunity to embed human rights into the police structure to ensure compliance with their obligations under section 6 of the Human Rights Act 1998</w:t>
      </w:r>
      <w:r w:rsidR="000C61B6">
        <w:rPr>
          <w:rFonts w:ascii="Arial" w:hAnsi="Arial" w:cs="Arial"/>
        </w:rPr>
        <w:t xml:space="preserve"> </w:t>
      </w:r>
      <w:r w:rsidR="000C61B6">
        <w:rPr>
          <w:rFonts w:ascii="Arial" w:hAnsi="Arial" w:cs="Arial"/>
        </w:rPr>
        <w:lastRenderedPageBreak/>
        <w:t>(“</w:t>
      </w:r>
      <w:proofErr w:type="spellStart"/>
      <w:r w:rsidR="000C61B6">
        <w:rPr>
          <w:rFonts w:ascii="Arial" w:hAnsi="Arial" w:cs="Arial"/>
        </w:rPr>
        <w:t>HRA</w:t>
      </w:r>
      <w:proofErr w:type="spellEnd"/>
      <w:r w:rsidR="000C61B6">
        <w:rPr>
          <w:rFonts w:ascii="Arial" w:hAnsi="Arial" w:cs="Arial"/>
        </w:rPr>
        <w:t>”)</w:t>
      </w:r>
      <w:r>
        <w:rPr>
          <w:rFonts w:ascii="Arial" w:hAnsi="Arial" w:cs="Arial"/>
        </w:rPr>
        <w:t>.</w:t>
      </w:r>
      <w:r>
        <w:rPr>
          <w:rStyle w:val="FootnoteReference"/>
          <w:rFonts w:ascii="Arial" w:hAnsi="Arial" w:cs="Arial"/>
        </w:rPr>
        <w:footnoteReference w:id="1"/>
      </w:r>
      <w:r w:rsidR="000C61B6">
        <w:rPr>
          <w:rFonts w:ascii="Arial" w:hAnsi="Arial" w:cs="Arial"/>
        </w:rPr>
        <w:t xml:space="preserve">  The Commission agreed with the overall purpose of the legislation, which was to create a modern, statutory framework for policing in Scotland with appropriate accountability arrangements.  </w:t>
      </w:r>
    </w:p>
    <w:p w:rsidR="000C61B6" w:rsidRDefault="000C61B6" w:rsidP="00F265AD">
      <w:pPr>
        <w:pStyle w:val="NormalWeb"/>
        <w:shd w:val="clear" w:color="auto" w:fill="FFFFFF"/>
        <w:ind w:left="360"/>
        <w:rPr>
          <w:rFonts w:ascii="Arial" w:hAnsi="Arial" w:cs="Arial"/>
        </w:rPr>
      </w:pPr>
    </w:p>
    <w:p w:rsidR="000C61B6" w:rsidRDefault="000C61B6" w:rsidP="00F265AD">
      <w:pPr>
        <w:pStyle w:val="NormalWeb"/>
        <w:shd w:val="clear" w:color="auto" w:fill="FFFFFF"/>
        <w:rPr>
          <w:rFonts w:ascii="Arial" w:hAnsi="Arial" w:cs="Arial"/>
          <w:b/>
        </w:rPr>
      </w:pPr>
      <w:r>
        <w:rPr>
          <w:rFonts w:ascii="Arial" w:hAnsi="Arial" w:cs="Arial"/>
          <w:b/>
        </w:rPr>
        <w:t>Relevant human rights principles</w:t>
      </w:r>
    </w:p>
    <w:p w:rsidR="000C61B6" w:rsidRDefault="000C61B6" w:rsidP="00F265AD">
      <w:pPr>
        <w:pStyle w:val="NormalWeb"/>
        <w:shd w:val="clear" w:color="auto" w:fill="FFFFFF"/>
        <w:rPr>
          <w:rFonts w:ascii="Arial" w:hAnsi="Arial" w:cs="Arial"/>
          <w:b/>
        </w:rPr>
      </w:pPr>
    </w:p>
    <w:p w:rsidR="000C61B6" w:rsidRDefault="000C61B6" w:rsidP="00F265AD">
      <w:pPr>
        <w:pStyle w:val="NormalWeb"/>
        <w:numPr>
          <w:ilvl w:val="0"/>
          <w:numId w:val="24"/>
        </w:numPr>
        <w:shd w:val="clear" w:color="auto" w:fill="FFFFFF"/>
        <w:rPr>
          <w:rFonts w:ascii="Arial" w:hAnsi="Arial" w:cs="Arial"/>
        </w:rPr>
      </w:pPr>
      <w:r>
        <w:rPr>
          <w:rFonts w:ascii="Arial" w:hAnsi="Arial" w:cs="Arial"/>
        </w:rPr>
        <w:t>As highlighted in the Commission’s 2012 submission, there are a range of international Conventions and Codes which recognise that the primary purpose of policing includes the protection of human rights.</w:t>
      </w:r>
    </w:p>
    <w:p w:rsidR="000C61B6" w:rsidRDefault="000C61B6" w:rsidP="00F265AD">
      <w:pPr>
        <w:pStyle w:val="NormalWeb"/>
        <w:shd w:val="clear" w:color="auto" w:fill="FFFFFF"/>
        <w:rPr>
          <w:rFonts w:ascii="Arial" w:hAnsi="Arial" w:cs="Arial"/>
        </w:rPr>
      </w:pPr>
    </w:p>
    <w:p w:rsidR="000C61B6" w:rsidRDefault="000C61B6" w:rsidP="00F265AD">
      <w:pPr>
        <w:pStyle w:val="ListParagraph"/>
        <w:numPr>
          <w:ilvl w:val="0"/>
          <w:numId w:val="26"/>
        </w:numPr>
        <w:spacing w:line="240" w:lineRule="auto"/>
        <w:rPr>
          <w:rFonts w:ascii="Arial" w:eastAsia="Cambria" w:hAnsi="Arial" w:cs="Arial"/>
          <w:sz w:val="24"/>
          <w:szCs w:val="24"/>
          <w:lang w:eastAsia="en-GB"/>
        </w:rPr>
      </w:pPr>
      <w:r>
        <w:rPr>
          <w:rFonts w:ascii="Arial" w:eastAsia="Cambria" w:hAnsi="Arial" w:cs="Arial"/>
          <w:sz w:val="24"/>
          <w:szCs w:val="24"/>
          <w:lang w:eastAsia="en-GB"/>
        </w:rPr>
        <w:t xml:space="preserve">The </w:t>
      </w:r>
      <w:proofErr w:type="spellStart"/>
      <w:r>
        <w:rPr>
          <w:rFonts w:ascii="Arial" w:eastAsia="Cambria" w:hAnsi="Arial" w:cs="Arial"/>
          <w:sz w:val="24"/>
          <w:szCs w:val="24"/>
          <w:lang w:eastAsia="en-GB"/>
        </w:rPr>
        <w:t>HRA</w:t>
      </w:r>
      <w:proofErr w:type="spellEnd"/>
      <w:r w:rsidRPr="000C61B6">
        <w:rPr>
          <w:rFonts w:ascii="Arial" w:eastAsia="Cambria" w:hAnsi="Arial" w:cs="Arial"/>
          <w:sz w:val="24"/>
          <w:szCs w:val="24"/>
          <w:lang w:eastAsia="en-GB"/>
        </w:rPr>
        <w:t xml:space="preserve"> requires all public authorities – including the police – to act in a way which is compatible with the individual rights and freedoms contained in the </w:t>
      </w:r>
      <w:r w:rsidR="00BC52CF">
        <w:rPr>
          <w:rFonts w:ascii="Arial" w:eastAsia="Cambria" w:hAnsi="Arial" w:cs="Arial"/>
          <w:sz w:val="24"/>
          <w:szCs w:val="24"/>
          <w:lang w:eastAsia="en-GB"/>
        </w:rPr>
        <w:t>European Convention on Human Rights (“</w:t>
      </w:r>
      <w:proofErr w:type="spellStart"/>
      <w:r w:rsidR="00BC52CF">
        <w:rPr>
          <w:rFonts w:ascii="Arial" w:eastAsia="Cambria" w:hAnsi="Arial" w:cs="Arial"/>
          <w:sz w:val="24"/>
          <w:szCs w:val="24"/>
          <w:lang w:eastAsia="en-GB"/>
        </w:rPr>
        <w:t>ECHR</w:t>
      </w:r>
      <w:proofErr w:type="spellEnd"/>
      <w:r w:rsidR="00BC52CF">
        <w:rPr>
          <w:rFonts w:ascii="Arial" w:eastAsia="Cambria" w:hAnsi="Arial" w:cs="Arial"/>
          <w:sz w:val="24"/>
          <w:szCs w:val="24"/>
          <w:lang w:eastAsia="en-GB"/>
        </w:rPr>
        <w:t>”)</w:t>
      </w:r>
      <w:r w:rsidRPr="000C61B6">
        <w:rPr>
          <w:rFonts w:ascii="Arial" w:eastAsia="Cambria" w:hAnsi="Arial" w:cs="Arial"/>
          <w:sz w:val="24"/>
          <w:szCs w:val="24"/>
          <w:lang w:eastAsia="en-GB"/>
        </w:rPr>
        <w:t>.   Article</w:t>
      </w:r>
      <w:r w:rsidR="00BC52CF">
        <w:rPr>
          <w:rFonts w:ascii="Arial" w:eastAsia="Cambria" w:hAnsi="Arial" w:cs="Arial"/>
          <w:sz w:val="24"/>
          <w:szCs w:val="24"/>
          <w:lang w:eastAsia="en-GB"/>
        </w:rPr>
        <w:t>s</w:t>
      </w:r>
      <w:r w:rsidRPr="000C61B6">
        <w:rPr>
          <w:rFonts w:ascii="Arial" w:eastAsia="Cambria" w:hAnsi="Arial" w:cs="Arial"/>
          <w:sz w:val="24"/>
          <w:szCs w:val="24"/>
          <w:lang w:eastAsia="en-GB"/>
        </w:rPr>
        <w:t xml:space="preserve"> 2 and 3</w:t>
      </w:r>
      <w:r w:rsidR="00BC52CF">
        <w:rPr>
          <w:rFonts w:ascii="Arial" w:eastAsia="Cambria" w:hAnsi="Arial" w:cs="Arial"/>
          <w:sz w:val="24"/>
          <w:szCs w:val="24"/>
          <w:lang w:eastAsia="en-GB"/>
        </w:rPr>
        <w:t xml:space="preserve"> of the </w:t>
      </w:r>
      <w:proofErr w:type="spellStart"/>
      <w:r w:rsidR="00BC52CF">
        <w:rPr>
          <w:rFonts w:ascii="Arial" w:eastAsia="Cambria" w:hAnsi="Arial" w:cs="Arial"/>
          <w:sz w:val="24"/>
          <w:szCs w:val="24"/>
          <w:lang w:eastAsia="en-GB"/>
        </w:rPr>
        <w:t>ECHR</w:t>
      </w:r>
      <w:proofErr w:type="spellEnd"/>
      <w:r w:rsidR="00BC52CF">
        <w:rPr>
          <w:rFonts w:ascii="Arial" w:eastAsia="Cambria" w:hAnsi="Arial" w:cs="Arial"/>
          <w:sz w:val="24"/>
          <w:szCs w:val="24"/>
          <w:lang w:eastAsia="en-GB"/>
        </w:rPr>
        <w:t xml:space="preserve">, </w:t>
      </w:r>
      <w:r w:rsidR="00BC52CF" w:rsidRPr="00EE622E">
        <w:rPr>
          <w:rFonts w:ascii="Arial" w:hAnsi="Arial" w:cs="Arial"/>
          <w:sz w:val="24"/>
          <w:szCs w:val="24"/>
        </w:rPr>
        <w:t>which protect the right to life and freedom from torture, inhuman or degrading treatment or punishment respectively</w:t>
      </w:r>
      <w:r w:rsidR="00BC52CF">
        <w:rPr>
          <w:rFonts w:ascii="Arial" w:eastAsia="Cambria" w:hAnsi="Arial" w:cs="Arial"/>
          <w:sz w:val="24"/>
          <w:szCs w:val="24"/>
          <w:lang w:eastAsia="en-GB"/>
        </w:rPr>
        <w:t xml:space="preserve">, </w:t>
      </w:r>
      <w:r w:rsidRPr="000C61B6">
        <w:rPr>
          <w:rFonts w:ascii="Arial" w:eastAsia="Cambria" w:hAnsi="Arial" w:cs="Arial"/>
          <w:sz w:val="24"/>
          <w:szCs w:val="24"/>
          <w:lang w:eastAsia="en-GB"/>
        </w:rPr>
        <w:t>are particularly relevant in this context.</w:t>
      </w:r>
    </w:p>
    <w:p w:rsidR="00BC52CF" w:rsidRPr="000C61B6" w:rsidRDefault="00BC52CF" w:rsidP="00F265AD">
      <w:pPr>
        <w:pStyle w:val="ListParagraph"/>
        <w:spacing w:line="240" w:lineRule="auto"/>
        <w:rPr>
          <w:rFonts w:ascii="Arial" w:eastAsia="Cambria" w:hAnsi="Arial" w:cs="Arial"/>
          <w:sz w:val="24"/>
          <w:szCs w:val="24"/>
          <w:lang w:eastAsia="en-GB"/>
        </w:rPr>
      </w:pPr>
    </w:p>
    <w:p w:rsidR="00BC52CF" w:rsidRDefault="00BC52CF" w:rsidP="00F265AD">
      <w:pPr>
        <w:pStyle w:val="ListParagraph"/>
        <w:numPr>
          <w:ilvl w:val="0"/>
          <w:numId w:val="26"/>
        </w:numPr>
        <w:spacing w:line="240" w:lineRule="auto"/>
        <w:rPr>
          <w:rFonts w:ascii="Arial" w:eastAsia="Cambria" w:hAnsi="Arial" w:cs="Arial"/>
          <w:sz w:val="24"/>
          <w:szCs w:val="24"/>
          <w:lang w:eastAsia="en-GB"/>
        </w:rPr>
      </w:pPr>
      <w:r w:rsidRPr="00BC52CF">
        <w:rPr>
          <w:rFonts w:ascii="Arial" w:eastAsia="Cambria" w:hAnsi="Arial" w:cs="Arial"/>
          <w:sz w:val="24"/>
          <w:szCs w:val="24"/>
          <w:lang w:eastAsia="en-GB"/>
        </w:rPr>
        <w:t>Article 2 of the United Nations Code of Conduct for Law Enforcement Officials</w:t>
      </w:r>
      <w:r>
        <w:rPr>
          <w:rStyle w:val="FootnoteReference"/>
          <w:rFonts w:ascii="Arial" w:eastAsia="Cambria" w:hAnsi="Arial" w:cs="Arial"/>
          <w:sz w:val="24"/>
          <w:szCs w:val="24"/>
          <w:lang w:eastAsia="en-GB"/>
        </w:rPr>
        <w:footnoteReference w:id="2"/>
      </w:r>
      <w:r w:rsidRPr="00BC52CF">
        <w:rPr>
          <w:rFonts w:ascii="Arial" w:eastAsia="Cambria" w:hAnsi="Arial" w:cs="Arial"/>
          <w:sz w:val="24"/>
          <w:szCs w:val="24"/>
          <w:lang w:eastAsia="en-GB"/>
        </w:rPr>
        <w:t xml:space="preserve">  states that in the performance of their duty, law enforcement officials shall respect and protect human dignity and maintain and uphold the human rights of all persons. </w:t>
      </w:r>
    </w:p>
    <w:p w:rsidR="00CF34A2" w:rsidRPr="00BC52CF" w:rsidRDefault="00CF34A2" w:rsidP="00F265AD">
      <w:pPr>
        <w:pStyle w:val="ListParagraph"/>
        <w:spacing w:line="240" w:lineRule="auto"/>
        <w:rPr>
          <w:rFonts w:ascii="Arial" w:eastAsia="Cambria" w:hAnsi="Arial" w:cs="Arial"/>
          <w:sz w:val="24"/>
          <w:szCs w:val="24"/>
          <w:lang w:eastAsia="en-GB"/>
        </w:rPr>
      </w:pPr>
    </w:p>
    <w:p w:rsidR="00CF34A2" w:rsidRDefault="00BC52CF" w:rsidP="00F265AD">
      <w:pPr>
        <w:pStyle w:val="ListParagraph"/>
        <w:numPr>
          <w:ilvl w:val="0"/>
          <w:numId w:val="26"/>
        </w:numPr>
        <w:spacing w:line="240" w:lineRule="auto"/>
        <w:rPr>
          <w:rFonts w:ascii="Arial" w:eastAsia="Cambria" w:hAnsi="Arial" w:cs="Arial"/>
          <w:sz w:val="24"/>
          <w:szCs w:val="24"/>
          <w:lang w:eastAsia="en-GB"/>
        </w:rPr>
      </w:pPr>
      <w:r w:rsidRPr="00BC52CF">
        <w:rPr>
          <w:rFonts w:ascii="Arial" w:eastAsia="Cambria" w:hAnsi="Arial" w:cs="Arial"/>
          <w:sz w:val="24"/>
          <w:szCs w:val="24"/>
          <w:lang w:eastAsia="en-GB"/>
        </w:rPr>
        <w:t>The European Code of Police Ethics 2001 states that</w:t>
      </w:r>
      <w:r w:rsidR="00BA0B8D">
        <w:rPr>
          <w:rFonts w:ascii="Arial" w:eastAsia="Cambria" w:hAnsi="Arial" w:cs="Arial"/>
          <w:sz w:val="24"/>
          <w:szCs w:val="24"/>
          <w:lang w:eastAsia="en-GB"/>
        </w:rPr>
        <w:t xml:space="preserve"> one of</w:t>
      </w:r>
      <w:r w:rsidRPr="00BC52CF">
        <w:rPr>
          <w:rFonts w:ascii="Arial" w:eastAsia="Cambria" w:hAnsi="Arial" w:cs="Arial"/>
          <w:sz w:val="24"/>
          <w:szCs w:val="24"/>
          <w:lang w:eastAsia="en-GB"/>
        </w:rPr>
        <w:t xml:space="preserve"> the main purposes of the police in a democratic society governed by the rule of law includes the requirement to protect and respect the individual’s fundamental rights and freedoms as enshrined, in particular, in the </w:t>
      </w:r>
      <w:proofErr w:type="spellStart"/>
      <w:r>
        <w:rPr>
          <w:rFonts w:ascii="Arial" w:eastAsia="Cambria" w:hAnsi="Arial" w:cs="Arial"/>
          <w:sz w:val="24"/>
          <w:szCs w:val="24"/>
          <w:lang w:eastAsia="en-GB"/>
        </w:rPr>
        <w:t>ECHR</w:t>
      </w:r>
      <w:proofErr w:type="spellEnd"/>
      <w:r w:rsidRPr="00BC52CF">
        <w:rPr>
          <w:rFonts w:ascii="Arial" w:eastAsia="Cambria" w:hAnsi="Arial" w:cs="Arial"/>
          <w:sz w:val="24"/>
          <w:szCs w:val="24"/>
          <w:lang w:eastAsia="en-GB"/>
        </w:rPr>
        <w:t xml:space="preserve">. </w:t>
      </w:r>
    </w:p>
    <w:p w:rsidR="00CF34A2" w:rsidRDefault="00CF34A2" w:rsidP="00F265AD">
      <w:pPr>
        <w:pStyle w:val="ListParagraph"/>
        <w:spacing w:line="240" w:lineRule="auto"/>
        <w:rPr>
          <w:rFonts w:ascii="Arial" w:eastAsia="Cambria" w:hAnsi="Arial" w:cs="Arial"/>
          <w:sz w:val="24"/>
          <w:szCs w:val="24"/>
          <w:lang w:eastAsia="en-GB"/>
        </w:rPr>
      </w:pPr>
    </w:p>
    <w:p w:rsidR="00CF34A2" w:rsidRPr="00CF34A2" w:rsidRDefault="00CF34A2" w:rsidP="00F265AD">
      <w:pPr>
        <w:pStyle w:val="ListParagraph"/>
        <w:numPr>
          <w:ilvl w:val="0"/>
          <w:numId w:val="24"/>
        </w:numPr>
        <w:spacing w:line="240" w:lineRule="auto"/>
        <w:rPr>
          <w:rFonts w:ascii="Arial" w:eastAsia="Cambria" w:hAnsi="Arial" w:cs="Arial"/>
          <w:sz w:val="24"/>
          <w:szCs w:val="24"/>
          <w:lang w:eastAsia="en-GB"/>
        </w:rPr>
      </w:pPr>
      <w:r w:rsidRPr="00CF34A2">
        <w:rPr>
          <w:rFonts w:ascii="Arial" w:eastAsia="Cambria" w:hAnsi="Arial" w:cs="Arial"/>
          <w:sz w:val="24"/>
          <w:szCs w:val="24"/>
          <w:lang w:eastAsia="en-GB"/>
        </w:rPr>
        <w:t>In relation to police accountability mechanisms, there are a number of international instruments that recognise the importance of monitoring and measurement</w:t>
      </w:r>
      <w:r w:rsidR="00FD346F">
        <w:rPr>
          <w:rFonts w:ascii="Arial" w:eastAsia="Cambria" w:hAnsi="Arial" w:cs="Arial"/>
          <w:sz w:val="24"/>
          <w:szCs w:val="24"/>
          <w:lang w:eastAsia="en-GB"/>
        </w:rPr>
        <w:t>,</w:t>
      </w:r>
      <w:r w:rsidRPr="00CF34A2">
        <w:rPr>
          <w:rFonts w:ascii="Arial" w:eastAsia="Cambria" w:hAnsi="Arial" w:cs="Arial"/>
          <w:sz w:val="24"/>
          <w:szCs w:val="24"/>
          <w:lang w:eastAsia="en-GB"/>
        </w:rPr>
        <w:t xml:space="preserve"> based on human rights indicators against which police policies are assessed.</w:t>
      </w:r>
      <w:r>
        <w:rPr>
          <w:rFonts w:ascii="Arial" w:eastAsia="Cambria" w:hAnsi="Arial" w:cs="Arial"/>
          <w:sz w:val="24"/>
          <w:szCs w:val="24"/>
          <w:lang w:eastAsia="en-GB"/>
        </w:rPr>
        <w:t xml:space="preserve">  The Commission highlighted two in its 2012 submission:</w:t>
      </w:r>
    </w:p>
    <w:p w:rsidR="000C61B6" w:rsidRPr="004B5E3E" w:rsidRDefault="00CF34A2" w:rsidP="00F265AD">
      <w:pPr>
        <w:pStyle w:val="NormalWeb"/>
        <w:numPr>
          <w:ilvl w:val="0"/>
          <w:numId w:val="26"/>
        </w:numPr>
        <w:shd w:val="clear" w:color="auto" w:fill="FFFFFF"/>
        <w:rPr>
          <w:rFonts w:ascii="Arial" w:hAnsi="Arial" w:cs="Arial"/>
        </w:rPr>
      </w:pPr>
      <w:r w:rsidRPr="004B5E3E">
        <w:rPr>
          <w:rFonts w:ascii="Arial" w:hAnsi="Arial" w:cs="Arial"/>
          <w:bCs/>
        </w:rPr>
        <w:t>The European Code of Police Ethics, which requires accountability mechanisms, based on communication and mutual understanding between the public and the police, to be promoted.</w:t>
      </w:r>
      <w:r w:rsidRPr="004B5E3E">
        <w:rPr>
          <w:rStyle w:val="FootnoteReference"/>
          <w:rFonts w:ascii="Arial" w:hAnsi="Arial" w:cs="Arial"/>
          <w:bCs/>
        </w:rPr>
        <w:footnoteReference w:id="3"/>
      </w:r>
    </w:p>
    <w:p w:rsidR="00CF34A2" w:rsidRPr="004B5E3E" w:rsidRDefault="00CF34A2" w:rsidP="00F265AD">
      <w:pPr>
        <w:pStyle w:val="NormalWeb"/>
        <w:shd w:val="clear" w:color="auto" w:fill="FFFFFF"/>
        <w:ind w:left="720"/>
        <w:rPr>
          <w:rFonts w:ascii="Arial" w:hAnsi="Arial" w:cs="Arial"/>
        </w:rPr>
      </w:pPr>
    </w:p>
    <w:p w:rsidR="00391459" w:rsidRPr="00747FE0" w:rsidRDefault="00CF34A2" w:rsidP="00391459">
      <w:pPr>
        <w:pStyle w:val="ListParagraph"/>
        <w:widowControl w:val="0"/>
        <w:numPr>
          <w:ilvl w:val="0"/>
          <w:numId w:val="26"/>
        </w:numPr>
        <w:autoSpaceDE w:val="0"/>
        <w:autoSpaceDN w:val="0"/>
        <w:adjustRightInd w:val="0"/>
        <w:spacing w:line="240" w:lineRule="auto"/>
        <w:jc w:val="both"/>
        <w:rPr>
          <w:rFonts w:ascii="Arial" w:hAnsi="Arial" w:cs="Arial"/>
          <w:bCs/>
          <w:sz w:val="24"/>
          <w:szCs w:val="24"/>
        </w:rPr>
      </w:pPr>
      <w:r w:rsidRPr="004B5E3E">
        <w:rPr>
          <w:rFonts w:ascii="Arial" w:hAnsi="Arial" w:cs="Arial"/>
          <w:sz w:val="24"/>
          <w:szCs w:val="24"/>
        </w:rPr>
        <w:t xml:space="preserve">The 2011 </w:t>
      </w:r>
      <w:proofErr w:type="spellStart"/>
      <w:r w:rsidRPr="004B5E3E">
        <w:rPr>
          <w:rFonts w:ascii="Arial" w:hAnsi="Arial" w:cs="Arial"/>
          <w:sz w:val="24"/>
          <w:szCs w:val="24"/>
        </w:rPr>
        <w:t>Laxenburg</w:t>
      </w:r>
      <w:proofErr w:type="spellEnd"/>
      <w:r w:rsidRPr="004B5E3E">
        <w:rPr>
          <w:rFonts w:ascii="Arial" w:hAnsi="Arial" w:cs="Arial"/>
          <w:sz w:val="24"/>
          <w:szCs w:val="24"/>
        </w:rPr>
        <w:t xml:space="preserve"> Declaration, which reiterates the need to ensure transparency, accessibility, accountability, legitimacy, impartiality and integrity in all systems created for police oversight and specifically promotes respect for the rule of law and human rights through and within all police oversight activities. It also calls for strong civil society participation in police oversight.</w:t>
      </w:r>
      <w:r w:rsidRPr="004B5E3E">
        <w:rPr>
          <w:rStyle w:val="FootnoteReference"/>
          <w:rFonts w:ascii="Arial" w:eastAsia="Cambria" w:hAnsi="Arial" w:cs="Arial"/>
          <w:sz w:val="24"/>
          <w:szCs w:val="24"/>
        </w:rPr>
        <w:t xml:space="preserve"> </w:t>
      </w:r>
      <w:r w:rsidRPr="004B5E3E">
        <w:rPr>
          <w:rStyle w:val="FootnoteReference"/>
          <w:rFonts w:ascii="Arial" w:eastAsia="Cambria" w:hAnsi="Arial" w:cs="Arial"/>
          <w:sz w:val="24"/>
          <w:szCs w:val="24"/>
        </w:rPr>
        <w:footnoteReference w:id="4"/>
      </w:r>
    </w:p>
    <w:p w:rsidR="00391459" w:rsidRPr="004B5E3E" w:rsidRDefault="00391459" w:rsidP="00391459">
      <w:pPr>
        <w:pStyle w:val="ListParagraph"/>
        <w:widowControl w:val="0"/>
        <w:autoSpaceDE w:val="0"/>
        <w:autoSpaceDN w:val="0"/>
        <w:adjustRightInd w:val="0"/>
        <w:spacing w:line="240" w:lineRule="auto"/>
        <w:jc w:val="both"/>
        <w:rPr>
          <w:rFonts w:ascii="Arial" w:hAnsi="Arial" w:cs="Arial"/>
          <w:bCs/>
          <w:sz w:val="24"/>
          <w:szCs w:val="24"/>
        </w:rPr>
      </w:pPr>
    </w:p>
    <w:p w:rsidR="00EE622E" w:rsidRPr="00EE622E" w:rsidRDefault="00EE622E" w:rsidP="00F265AD">
      <w:pPr>
        <w:pStyle w:val="NormalWeb"/>
        <w:shd w:val="clear" w:color="auto" w:fill="FFFFFF"/>
        <w:rPr>
          <w:rFonts w:ascii="Arial" w:hAnsi="Arial" w:cs="Arial"/>
          <w:b/>
        </w:rPr>
      </w:pPr>
      <w:r w:rsidRPr="00EE622E">
        <w:rPr>
          <w:rFonts w:ascii="Arial" w:hAnsi="Arial" w:cs="Arial"/>
          <w:b/>
        </w:rPr>
        <w:t>General recommendations relevant to the Police and Fire Reform (Scotland) Act 2012 (the “Act”)</w:t>
      </w:r>
    </w:p>
    <w:p w:rsidR="00EE622E" w:rsidRDefault="00EE622E" w:rsidP="00F265AD">
      <w:pPr>
        <w:pStyle w:val="NormalWeb"/>
        <w:shd w:val="clear" w:color="auto" w:fill="FFFFFF"/>
        <w:rPr>
          <w:rFonts w:ascii="Arial" w:hAnsi="Arial" w:cs="Arial"/>
        </w:rPr>
      </w:pPr>
    </w:p>
    <w:p w:rsidR="00EE622E" w:rsidRDefault="00EE622E" w:rsidP="00F265AD">
      <w:pPr>
        <w:pStyle w:val="NormalWeb"/>
        <w:shd w:val="clear" w:color="auto" w:fill="FFFFFF"/>
        <w:rPr>
          <w:rFonts w:ascii="Arial" w:hAnsi="Arial" w:cs="Arial"/>
          <w:i/>
        </w:rPr>
      </w:pPr>
      <w:r>
        <w:rPr>
          <w:rFonts w:ascii="Arial" w:hAnsi="Arial" w:cs="Arial"/>
          <w:i/>
        </w:rPr>
        <w:t>Human rights reference</w:t>
      </w:r>
    </w:p>
    <w:p w:rsidR="00BA0B8D" w:rsidRDefault="00BA0B8D" w:rsidP="00F265AD">
      <w:pPr>
        <w:pStyle w:val="NormalWeb"/>
        <w:shd w:val="clear" w:color="auto" w:fill="FFFFFF"/>
        <w:rPr>
          <w:rFonts w:ascii="Arial" w:hAnsi="Arial" w:cs="Arial"/>
          <w:i/>
        </w:rPr>
      </w:pPr>
    </w:p>
    <w:p w:rsidR="004B5E3E" w:rsidRDefault="004B5E3E" w:rsidP="00F265AD">
      <w:pPr>
        <w:pStyle w:val="NormalWeb"/>
        <w:numPr>
          <w:ilvl w:val="0"/>
          <w:numId w:val="24"/>
        </w:numPr>
        <w:shd w:val="clear" w:color="auto" w:fill="FFFFFF"/>
        <w:rPr>
          <w:rFonts w:ascii="Arial" w:hAnsi="Arial" w:cs="Arial"/>
        </w:rPr>
      </w:pPr>
      <w:r>
        <w:rPr>
          <w:rFonts w:ascii="Arial" w:hAnsi="Arial" w:cs="Arial"/>
        </w:rPr>
        <w:t>The Commission’s 2012 submission highlighted that human rights should be explicitly articulated in legislation.  The Commission called for the police oath to include a clear commit</w:t>
      </w:r>
      <w:r w:rsidR="00C543AB">
        <w:rPr>
          <w:rFonts w:ascii="Arial" w:hAnsi="Arial" w:cs="Arial"/>
        </w:rPr>
        <w:t>ment to upholding and protecting</w:t>
      </w:r>
      <w:r>
        <w:rPr>
          <w:rFonts w:ascii="Arial" w:hAnsi="Arial" w:cs="Arial"/>
        </w:rPr>
        <w:t xml:space="preserve"> human rights and fundamental freedoms and welcomes that this features in section 10 of the </w:t>
      </w:r>
      <w:r w:rsidR="00391459">
        <w:rPr>
          <w:rFonts w:ascii="Arial" w:hAnsi="Arial" w:cs="Arial"/>
        </w:rPr>
        <w:t>Act.</w:t>
      </w:r>
      <w:r>
        <w:rPr>
          <w:rFonts w:ascii="Arial" w:hAnsi="Arial" w:cs="Arial"/>
        </w:rPr>
        <w:t xml:space="preserve">  </w:t>
      </w:r>
    </w:p>
    <w:p w:rsidR="004B5E3E" w:rsidRDefault="004B5E3E" w:rsidP="00F265AD">
      <w:pPr>
        <w:pStyle w:val="NormalWeb"/>
        <w:shd w:val="clear" w:color="auto" w:fill="FFFFFF"/>
        <w:ind w:left="360"/>
        <w:rPr>
          <w:rFonts w:ascii="Arial" w:hAnsi="Arial" w:cs="Arial"/>
        </w:rPr>
      </w:pPr>
    </w:p>
    <w:p w:rsidR="004B5E3E" w:rsidRDefault="004B5E3E" w:rsidP="00F265AD">
      <w:pPr>
        <w:pStyle w:val="NormalWeb"/>
        <w:numPr>
          <w:ilvl w:val="0"/>
          <w:numId w:val="24"/>
        </w:numPr>
        <w:shd w:val="clear" w:color="auto" w:fill="FFFFFF"/>
        <w:rPr>
          <w:rFonts w:ascii="Arial" w:hAnsi="Arial" w:cs="Arial"/>
        </w:rPr>
      </w:pPr>
      <w:r>
        <w:rPr>
          <w:rFonts w:ascii="Arial" w:hAnsi="Arial" w:cs="Arial"/>
        </w:rPr>
        <w:t xml:space="preserve">Although the constable’s declaration is a positive step, this is the only explicit reference to human rights in the Act despite the distinct human rights obligations for the police under the </w:t>
      </w:r>
      <w:proofErr w:type="spellStart"/>
      <w:r>
        <w:rPr>
          <w:rFonts w:ascii="Arial" w:hAnsi="Arial" w:cs="Arial"/>
        </w:rPr>
        <w:t>HRA</w:t>
      </w:r>
      <w:proofErr w:type="spellEnd"/>
      <w:r>
        <w:rPr>
          <w:rFonts w:ascii="Arial" w:hAnsi="Arial" w:cs="Arial"/>
        </w:rPr>
        <w:t>.</w:t>
      </w:r>
      <w:r w:rsidR="00C543AB">
        <w:rPr>
          <w:rFonts w:ascii="Arial" w:hAnsi="Arial" w:cs="Arial"/>
        </w:rPr>
        <w:t xml:space="preserve">  Section 32 of the Act includes a statement of policing principles to which the Scottish Ministers, the Scottish Polic</w:t>
      </w:r>
      <w:r w:rsidR="00CE7408">
        <w:rPr>
          <w:rFonts w:ascii="Arial" w:hAnsi="Arial" w:cs="Arial"/>
        </w:rPr>
        <w:t>e</w:t>
      </w:r>
      <w:r w:rsidR="00C543AB">
        <w:rPr>
          <w:rFonts w:ascii="Arial" w:hAnsi="Arial" w:cs="Arial"/>
        </w:rPr>
        <w:t xml:space="preserve"> Authority (“SPA”) and the chief constable must have regard when setting the strategic direction of the Police Service.  The Commission believes the policing principles offer an opportunity to define the fundamental values and principles of the Scottish Police Service and should reflect the human rights obligations of the police.</w:t>
      </w:r>
    </w:p>
    <w:p w:rsidR="00EE622E" w:rsidRPr="00EE622E" w:rsidRDefault="00EE622E" w:rsidP="00F265AD">
      <w:pPr>
        <w:pStyle w:val="NormalWeb"/>
        <w:shd w:val="clear" w:color="auto" w:fill="FFFFFF"/>
        <w:rPr>
          <w:rFonts w:ascii="Arial" w:hAnsi="Arial" w:cs="Arial"/>
        </w:rPr>
      </w:pPr>
    </w:p>
    <w:p w:rsidR="00EE622E" w:rsidRPr="00EE622E" w:rsidRDefault="00C543AB" w:rsidP="00F265AD">
      <w:pPr>
        <w:pStyle w:val="NormalWeb"/>
        <w:shd w:val="clear" w:color="auto" w:fill="FFFFFF"/>
        <w:ind w:left="360"/>
        <w:rPr>
          <w:rFonts w:ascii="Arial" w:hAnsi="Arial" w:cs="Arial"/>
        </w:rPr>
      </w:pPr>
      <w:r>
        <w:rPr>
          <w:rFonts w:ascii="Arial" w:hAnsi="Arial" w:cs="Arial"/>
          <w:b/>
        </w:rPr>
        <w:t xml:space="preserve">Recommendation: </w:t>
      </w:r>
      <w:r w:rsidR="00EE622E" w:rsidRPr="00EE622E">
        <w:rPr>
          <w:rFonts w:ascii="Arial" w:hAnsi="Arial" w:cs="Arial"/>
        </w:rPr>
        <w:t xml:space="preserve">A commitment to upholding human rights, as protected by the </w:t>
      </w:r>
      <w:proofErr w:type="spellStart"/>
      <w:r w:rsidR="00BA0B8D">
        <w:rPr>
          <w:rFonts w:ascii="Arial" w:hAnsi="Arial" w:cs="Arial"/>
        </w:rPr>
        <w:t>HRA</w:t>
      </w:r>
      <w:proofErr w:type="spellEnd"/>
      <w:r w:rsidR="00BA0B8D">
        <w:rPr>
          <w:rFonts w:ascii="Arial" w:hAnsi="Arial" w:cs="Arial"/>
        </w:rPr>
        <w:t>,</w:t>
      </w:r>
      <w:r w:rsidR="00EE622E" w:rsidRPr="00EE622E">
        <w:rPr>
          <w:rFonts w:ascii="Arial" w:hAnsi="Arial" w:cs="Arial"/>
        </w:rPr>
        <w:t xml:space="preserve"> should be explicitly included in the policing principles of the Scottish Police Service provided for in section 32 of the Act.  </w:t>
      </w:r>
    </w:p>
    <w:p w:rsidR="00EE622E" w:rsidRDefault="00EE622E" w:rsidP="00F265AD">
      <w:pPr>
        <w:pStyle w:val="NormalWeb"/>
        <w:shd w:val="clear" w:color="auto" w:fill="FFFFFF"/>
        <w:rPr>
          <w:rFonts w:ascii="Arial" w:hAnsi="Arial" w:cs="Arial"/>
        </w:rPr>
      </w:pPr>
    </w:p>
    <w:p w:rsidR="00D66A76" w:rsidRDefault="00D66A76" w:rsidP="00F265AD">
      <w:pPr>
        <w:pStyle w:val="NormalWeb"/>
        <w:shd w:val="clear" w:color="auto" w:fill="FFFFFF"/>
        <w:rPr>
          <w:rFonts w:ascii="Arial" w:hAnsi="Arial" w:cs="Arial"/>
          <w:i/>
        </w:rPr>
      </w:pPr>
      <w:r>
        <w:rPr>
          <w:rFonts w:ascii="Arial" w:hAnsi="Arial" w:cs="Arial"/>
          <w:i/>
        </w:rPr>
        <w:t>Ethical framework</w:t>
      </w:r>
    </w:p>
    <w:p w:rsidR="00D66A76" w:rsidRPr="00D66A76" w:rsidRDefault="00D66A76" w:rsidP="00F265AD">
      <w:pPr>
        <w:pStyle w:val="NormalWeb"/>
        <w:shd w:val="clear" w:color="auto" w:fill="FFFFFF"/>
        <w:rPr>
          <w:rFonts w:ascii="Arial" w:hAnsi="Arial" w:cs="Arial"/>
          <w:i/>
        </w:rPr>
      </w:pPr>
    </w:p>
    <w:p w:rsidR="00EE622E" w:rsidRDefault="00D66A76" w:rsidP="00F265AD">
      <w:pPr>
        <w:pStyle w:val="NormalWeb"/>
        <w:numPr>
          <w:ilvl w:val="0"/>
          <w:numId w:val="24"/>
        </w:numPr>
        <w:shd w:val="clear" w:color="auto" w:fill="FFFFFF"/>
        <w:rPr>
          <w:rFonts w:ascii="Arial" w:hAnsi="Arial" w:cs="Arial"/>
        </w:rPr>
      </w:pPr>
      <w:r>
        <w:rPr>
          <w:rFonts w:ascii="Arial" w:hAnsi="Arial" w:cs="Arial"/>
        </w:rPr>
        <w:t xml:space="preserve">The Act makes no provision for a code of ethics for the Scottish Police Service.  The Commission notes the Code of Ethics for Policing in Scotland, and welcomes that it explicitly deals with human rights and police officers’ obligations under the </w:t>
      </w:r>
      <w:proofErr w:type="spellStart"/>
      <w:r>
        <w:rPr>
          <w:rFonts w:ascii="Arial" w:hAnsi="Arial" w:cs="Arial"/>
        </w:rPr>
        <w:t>HRA</w:t>
      </w:r>
      <w:proofErr w:type="spellEnd"/>
      <w:r>
        <w:rPr>
          <w:rFonts w:ascii="Arial" w:hAnsi="Arial" w:cs="Arial"/>
        </w:rPr>
        <w:t>.</w:t>
      </w:r>
      <w:r w:rsidRPr="00D66A76">
        <w:rPr>
          <w:rStyle w:val="FootnoteReference"/>
          <w:rFonts w:ascii="Arial" w:hAnsi="Arial" w:cs="Arial"/>
        </w:rPr>
        <w:t xml:space="preserve"> </w:t>
      </w:r>
      <w:r w:rsidRPr="00EE622E">
        <w:rPr>
          <w:rStyle w:val="FootnoteReference"/>
          <w:rFonts w:ascii="Arial" w:hAnsi="Arial" w:cs="Arial"/>
        </w:rPr>
        <w:footnoteReference w:id="5"/>
      </w:r>
    </w:p>
    <w:p w:rsidR="00D66A76" w:rsidRDefault="00D66A76" w:rsidP="00F265AD">
      <w:pPr>
        <w:pStyle w:val="NormalWeb"/>
        <w:shd w:val="clear" w:color="auto" w:fill="FFFFFF"/>
        <w:rPr>
          <w:rFonts w:ascii="Arial" w:hAnsi="Arial" w:cs="Arial"/>
        </w:rPr>
      </w:pPr>
    </w:p>
    <w:p w:rsidR="00D66A76" w:rsidRDefault="00D66A76" w:rsidP="00F265AD">
      <w:pPr>
        <w:pStyle w:val="NormalWeb"/>
        <w:shd w:val="clear" w:color="auto" w:fill="FFFFFF"/>
        <w:ind w:left="360"/>
        <w:rPr>
          <w:rFonts w:ascii="Arial" w:hAnsi="Arial" w:cs="Arial"/>
        </w:rPr>
      </w:pPr>
      <w:r w:rsidRPr="00D66A76">
        <w:rPr>
          <w:rFonts w:ascii="Arial" w:hAnsi="Arial" w:cs="Arial"/>
          <w:b/>
        </w:rPr>
        <w:t>Recommendation</w:t>
      </w:r>
      <w:r>
        <w:rPr>
          <w:rFonts w:ascii="Arial" w:hAnsi="Arial" w:cs="Arial"/>
        </w:rPr>
        <w:t xml:space="preserve">:  </w:t>
      </w:r>
      <w:r w:rsidR="00EE622E" w:rsidRPr="00EE622E">
        <w:rPr>
          <w:rFonts w:ascii="Arial" w:hAnsi="Arial" w:cs="Arial"/>
        </w:rPr>
        <w:t>The Commission</w:t>
      </w:r>
      <w:r>
        <w:rPr>
          <w:rFonts w:ascii="Arial" w:hAnsi="Arial" w:cs="Arial"/>
        </w:rPr>
        <w:t xml:space="preserve"> </w:t>
      </w:r>
      <w:r w:rsidR="00EE622E" w:rsidRPr="00EE622E">
        <w:rPr>
          <w:rFonts w:ascii="Arial" w:hAnsi="Arial" w:cs="Arial"/>
        </w:rPr>
        <w:t xml:space="preserve"> believes the Act should make provision for </w:t>
      </w:r>
      <w:r>
        <w:rPr>
          <w:rFonts w:ascii="Arial" w:hAnsi="Arial" w:cs="Arial"/>
        </w:rPr>
        <w:t>an ethics code</w:t>
      </w:r>
      <w:r w:rsidR="00EE622E" w:rsidRPr="00EE622E">
        <w:rPr>
          <w:rFonts w:ascii="Arial" w:hAnsi="Arial" w:cs="Arial"/>
        </w:rPr>
        <w:t xml:space="preserve"> to be placed on a statutory footing.  </w:t>
      </w:r>
    </w:p>
    <w:p w:rsidR="00C32CDB" w:rsidRDefault="00C32CDB" w:rsidP="00F265AD">
      <w:pPr>
        <w:pStyle w:val="NormalWeb"/>
        <w:shd w:val="clear" w:color="auto" w:fill="FFFFFF"/>
        <w:ind w:left="360"/>
        <w:rPr>
          <w:rFonts w:ascii="Arial" w:hAnsi="Arial" w:cs="Arial"/>
        </w:rPr>
      </w:pPr>
    </w:p>
    <w:p w:rsidR="00D66A76" w:rsidRDefault="00D66A76" w:rsidP="00F265AD">
      <w:pPr>
        <w:pStyle w:val="NormalWeb"/>
        <w:shd w:val="clear" w:color="auto" w:fill="FFFFFF"/>
        <w:rPr>
          <w:rFonts w:ascii="Arial" w:hAnsi="Arial" w:cs="Arial"/>
          <w:i/>
        </w:rPr>
      </w:pPr>
      <w:r>
        <w:rPr>
          <w:rFonts w:ascii="Arial" w:hAnsi="Arial" w:cs="Arial"/>
          <w:i/>
        </w:rPr>
        <w:t>Scottish Police Authority</w:t>
      </w:r>
    </w:p>
    <w:p w:rsidR="00D66A76" w:rsidRDefault="00D66A76" w:rsidP="00F265AD">
      <w:pPr>
        <w:pStyle w:val="NormalWeb"/>
        <w:shd w:val="clear" w:color="auto" w:fill="FFFFFF"/>
        <w:rPr>
          <w:rFonts w:ascii="Arial" w:hAnsi="Arial" w:cs="Arial"/>
          <w:i/>
        </w:rPr>
      </w:pPr>
    </w:p>
    <w:p w:rsidR="00FF447F" w:rsidRDefault="00FF447F" w:rsidP="00F265AD">
      <w:pPr>
        <w:pStyle w:val="NormalWeb"/>
        <w:numPr>
          <w:ilvl w:val="0"/>
          <w:numId w:val="24"/>
        </w:numPr>
        <w:shd w:val="clear" w:color="auto" w:fill="FFFFFF"/>
        <w:rPr>
          <w:rFonts w:ascii="Arial" w:hAnsi="Arial" w:cs="Arial"/>
        </w:rPr>
      </w:pPr>
      <w:r>
        <w:rPr>
          <w:rFonts w:ascii="Arial" w:hAnsi="Arial" w:cs="Arial"/>
        </w:rPr>
        <w:t xml:space="preserve">Section 2 of the Act sets out the functions of the SPA.  </w:t>
      </w:r>
      <w:r w:rsidR="00EE622E" w:rsidRPr="00FF447F">
        <w:rPr>
          <w:rFonts w:ascii="Arial" w:hAnsi="Arial" w:cs="Arial"/>
        </w:rPr>
        <w:t xml:space="preserve">Section 2(3) of the Act states that the </w:t>
      </w:r>
      <w:r>
        <w:rPr>
          <w:rFonts w:ascii="Arial" w:hAnsi="Arial" w:cs="Arial"/>
        </w:rPr>
        <w:t xml:space="preserve">SPA </w:t>
      </w:r>
      <w:r w:rsidR="00EE622E" w:rsidRPr="00FF447F">
        <w:rPr>
          <w:rFonts w:ascii="Arial" w:hAnsi="Arial" w:cs="Arial"/>
        </w:rPr>
        <w:t>must “</w:t>
      </w:r>
      <w:r w:rsidR="00EE622E" w:rsidRPr="00FF447F">
        <w:rPr>
          <w:rFonts w:ascii="Arial" w:hAnsi="Arial" w:cs="Arial"/>
          <w:i/>
        </w:rPr>
        <w:t xml:space="preserve">try </w:t>
      </w:r>
      <w:r w:rsidR="00EE622E" w:rsidRPr="00FF447F">
        <w:rPr>
          <w:rFonts w:ascii="Arial" w:hAnsi="Arial" w:cs="Arial"/>
        </w:rPr>
        <w:t xml:space="preserve">to carry out its functions in a way which is proportionate, accountable and transparent and which is consistent with any principle of good governance which appears to it to constitute best practice.” (emphasis added).  </w:t>
      </w:r>
    </w:p>
    <w:p w:rsidR="00FF447F" w:rsidRDefault="00FF447F" w:rsidP="00F265AD">
      <w:pPr>
        <w:pStyle w:val="NormalWeb"/>
        <w:shd w:val="clear" w:color="auto" w:fill="FFFFFF"/>
        <w:ind w:left="360"/>
        <w:rPr>
          <w:rFonts w:ascii="Arial" w:hAnsi="Arial" w:cs="Arial"/>
        </w:rPr>
      </w:pPr>
    </w:p>
    <w:p w:rsidR="00EE622E" w:rsidRPr="00FF447F" w:rsidRDefault="00FF447F" w:rsidP="00F265AD">
      <w:pPr>
        <w:pStyle w:val="NormalWeb"/>
        <w:shd w:val="clear" w:color="auto" w:fill="FFFFFF"/>
        <w:ind w:left="360"/>
        <w:rPr>
          <w:rFonts w:ascii="Arial" w:hAnsi="Arial" w:cs="Arial"/>
        </w:rPr>
      </w:pPr>
      <w:r w:rsidRPr="00FF447F">
        <w:rPr>
          <w:rFonts w:ascii="Arial" w:hAnsi="Arial" w:cs="Arial"/>
          <w:b/>
        </w:rPr>
        <w:lastRenderedPageBreak/>
        <w:t>Recommendation</w:t>
      </w:r>
      <w:r>
        <w:rPr>
          <w:rFonts w:ascii="Arial" w:hAnsi="Arial" w:cs="Arial"/>
        </w:rPr>
        <w:t xml:space="preserve">: </w:t>
      </w:r>
      <w:r w:rsidR="00EE622E" w:rsidRPr="00FF447F">
        <w:rPr>
          <w:rFonts w:ascii="Arial" w:hAnsi="Arial" w:cs="Arial"/>
        </w:rPr>
        <w:t xml:space="preserve">The word ‘try’ should be deleted.  The SPA, a public authority, is required to act in compliance with rights protected by the </w:t>
      </w:r>
      <w:proofErr w:type="spellStart"/>
      <w:r w:rsidR="00CE7408">
        <w:rPr>
          <w:rFonts w:ascii="Arial" w:hAnsi="Arial" w:cs="Arial"/>
        </w:rPr>
        <w:t>ECHR</w:t>
      </w:r>
      <w:proofErr w:type="spellEnd"/>
      <w:r w:rsidR="00EE622E" w:rsidRPr="00FF447F">
        <w:rPr>
          <w:rFonts w:ascii="Arial" w:hAnsi="Arial" w:cs="Arial"/>
        </w:rPr>
        <w:t xml:space="preserve">.  </w:t>
      </w:r>
    </w:p>
    <w:p w:rsidR="00EE622E" w:rsidRPr="00EE622E" w:rsidRDefault="00EE622E" w:rsidP="00F265AD">
      <w:pPr>
        <w:pStyle w:val="NormalWeb"/>
        <w:shd w:val="clear" w:color="auto" w:fill="FFFFFF"/>
        <w:ind w:left="720"/>
        <w:rPr>
          <w:rFonts w:ascii="Arial" w:hAnsi="Arial" w:cs="Arial"/>
        </w:rPr>
      </w:pPr>
    </w:p>
    <w:p w:rsidR="00C32CDB" w:rsidRDefault="00EE622E" w:rsidP="00F265AD">
      <w:pPr>
        <w:pStyle w:val="NormalWeb"/>
        <w:numPr>
          <w:ilvl w:val="0"/>
          <w:numId w:val="24"/>
        </w:numPr>
        <w:shd w:val="clear" w:color="auto" w:fill="FFFFFF"/>
        <w:rPr>
          <w:rFonts w:ascii="Arial" w:hAnsi="Arial" w:cs="Arial"/>
        </w:rPr>
      </w:pPr>
      <w:r w:rsidRPr="00EE622E">
        <w:rPr>
          <w:rFonts w:ascii="Arial" w:hAnsi="Arial" w:cs="Arial"/>
        </w:rPr>
        <w:t>Section 33 of the Act provides that the Scottish Ministers may determine the strategic police priorities for the SPA.  Section 5(1) also provides that the SPA must comply with any specific or general direction given by the Scottish Ministers.  The Scottish Ministers therefore have a comprehensive power to direct the SPA.</w:t>
      </w:r>
    </w:p>
    <w:p w:rsidR="00C32CDB" w:rsidRDefault="00ED7E59" w:rsidP="00F265AD">
      <w:pPr>
        <w:pStyle w:val="NormalWeb"/>
        <w:shd w:val="clear" w:color="auto" w:fill="FFFFFF"/>
        <w:ind w:left="360"/>
        <w:rPr>
          <w:rFonts w:ascii="Arial" w:hAnsi="Arial" w:cs="Arial"/>
        </w:rPr>
      </w:pPr>
      <w:r>
        <w:rPr>
          <w:rFonts w:ascii="Arial" w:hAnsi="Arial" w:cs="Arial"/>
        </w:rPr>
        <w:t xml:space="preserve">  </w:t>
      </w:r>
    </w:p>
    <w:p w:rsidR="00ED7E59" w:rsidRDefault="00ED7E59" w:rsidP="00F265AD">
      <w:pPr>
        <w:pStyle w:val="NormalWeb"/>
        <w:numPr>
          <w:ilvl w:val="0"/>
          <w:numId w:val="24"/>
        </w:numPr>
        <w:shd w:val="clear" w:color="auto" w:fill="FFFFFF"/>
        <w:rPr>
          <w:rFonts w:ascii="Arial" w:hAnsi="Arial" w:cs="Arial"/>
        </w:rPr>
      </w:pPr>
      <w:r>
        <w:rPr>
          <w:rFonts w:ascii="Arial" w:hAnsi="Arial" w:cs="Arial"/>
        </w:rPr>
        <w:t xml:space="preserve">The Commission believes that the Scottish Ministers should only retain the power to set principles and overall objectives for policing and the SPA should have the independence and power to set its own strategic priorities.  The Commission believes the power given to Scottish Ministers in the Act poses a significant challenge to the independence of the SPA and the integrity of the police accountability framework.  </w:t>
      </w:r>
      <w:r w:rsidR="00EE622E" w:rsidRPr="00EE622E">
        <w:rPr>
          <w:rFonts w:ascii="Arial" w:hAnsi="Arial" w:cs="Arial"/>
        </w:rPr>
        <w:t xml:space="preserve">  </w:t>
      </w:r>
    </w:p>
    <w:p w:rsidR="00ED7E59" w:rsidRDefault="00ED7E59" w:rsidP="00F265AD">
      <w:pPr>
        <w:pStyle w:val="NormalWeb"/>
        <w:shd w:val="clear" w:color="auto" w:fill="FFFFFF"/>
        <w:ind w:left="360"/>
        <w:rPr>
          <w:rFonts w:ascii="Arial" w:hAnsi="Arial" w:cs="Arial"/>
        </w:rPr>
      </w:pPr>
    </w:p>
    <w:p w:rsidR="00EE622E" w:rsidRDefault="00ED7E59" w:rsidP="00F265AD">
      <w:pPr>
        <w:pStyle w:val="NormalWeb"/>
        <w:shd w:val="clear" w:color="auto" w:fill="FFFFFF"/>
        <w:ind w:left="360"/>
        <w:rPr>
          <w:rFonts w:ascii="Arial" w:hAnsi="Arial" w:cs="Arial"/>
        </w:rPr>
      </w:pPr>
      <w:r w:rsidRPr="00ED7E59">
        <w:rPr>
          <w:rFonts w:ascii="Arial" w:hAnsi="Arial" w:cs="Arial"/>
          <w:b/>
        </w:rPr>
        <w:t>Recommendation</w:t>
      </w:r>
      <w:r>
        <w:rPr>
          <w:rFonts w:ascii="Arial" w:hAnsi="Arial" w:cs="Arial"/>
        </w:rPr>
        <w:t xml:space="preserve">: </w:t>
      </w:r>
      <w:r w:rsidR="00EE622E" w:rsidRPr="00EE622E">
        <w:rPr>
          <w:rFonts w:ascii="Arial" w:hAnsi="Arial" w:cs="Arial"/>
        </w:rPr>
        <w:t xml:space="preserve">The Commission believes the SPA should have the independence and power to set its own strategic policing priorities.  </w:t>
      </w:r>
    </w:p>
    <w:p w:rsidR="00890E04" w:rsidRPr="00EE622E" w:rsidRDefault="00890E04" w:rsidP="00F265AD">
      <w:pPr>
        <w:pStyle w:val="NormalWeb"/>
        <w:shd w:val="clear" w:color="auto" w:fill="FFFFFF"/>
        <w:ind w:left="360"/>
        <w:rPr>
          <w:rFonts w:ascii="Arial" w:hAnsi="Arial" w:cs="Arial"/>
        </w:rPr>
      </w:pPr>
    </w:p>
    <w:p w:rsidR="00391459" w:rsidRDefault="003D05BF" w:rsidP="00F265AD">
      <w:pPr>
        <w:pStyle w:val="NormalWeb"/>
        <w:shd w:val="clear" w:color="auto" w:fill="FFFFFF"/>
        <w:rPr>
          <w:rFonts w:ascii="Arial" w:hAnsi="Arial" w:cs="Arial"/>
          <w:i/>
        </w:rPr>
      </w:pPr>
      <w:r>
        <w:rPr>
          <w:rFonts w:ascii="Arial" w:hAnsi="Arial" w:cs="Arial"/>
          <w:i/>
        </w:rPr>
        <w:t>Independent Custody Visiting</w:t>
      </w:r>
    </w:p>
    <w:p w:rsidR="00391459" w:rsidRDefault="00391459" w:rsidP="00F265AD">
      <w:pPr>
        <w:pStyle w:val="NormalWeb"/>
        <w:shd w:val="clear" w:color="auto" w:fill="FFFFFF"/>
        <w:rPr>
          <w:rFonts w:ascii="Arial" w:hAnsi="Arial" w:cs="Arial"/>
          <w:i/>
        </w:rPr>
      </w:pPr>
    </w:p>
    <w:p w:rsidR="001562BE" w:rsidRPr="00391459" w:rsidRDefault="0087067A" w:rsidP="00F265AD">
      <w:pPr>
        <w:pStyle w:val="NormalWeb"/>
        <w:numPr>
          <w:ilvl w:val="0"/>
          <w:numId w:val="24"/>
        </w:numPr>
        <w:shd w:val="clear" w:color="auto" w:fill="FFFFFF"/>
        <w:rPr>
          <w:rFonts w:ascii="Arial" w:hAnsi="Arial" w:cs="Arial"/>
          <w:i/>
        </w:rPr>
      </w:pPr>
      <w:r>
        <w:rPr>
          <w:rFonts w:ascii="Arial" w:hAnsi="Arial" w:cs="Arial"/>
        </w:rPr>
        <w:t xml:space="preserve"> The Commission is a member of the UK’s National Preventative Mechanism (“</w:t>
      </w:r>
      <w:proofErr w:type="spellStart"/>
      <w:r>
        <w:rPr>
          <w:rFonts w:ascii="Arial" w:hAnsi="Arial" w:cs="Arial"/>
        </w:rPr>
        <w:t>NPM</w:t>
      </w:r>
      <w:proofErr w:type="spellEnd"/>
      <w:r>
        <w:rPr>
          <w:rFonts w:ascii="Arial" w:hAnsi="Arial" w:cs="Arial"/>
        </w:rPr>
        <w:t>”)</w:t>
      </w:r>
      <w:r w:rsidR="00FD346F">
        <w:rPr>
          <w:rFonts w:ascii="Arial" w:hAnsi="Arial" w:cs="Arial"/>
        </w:rPr>
        <w:t>,</w:t>
      </w:r>
      <w:r>
        <w:rPr>
          <w:rFonts w:ascii="Arial" w:hAnsi="Arial" w:cs="Arial"/>
        </w:rPr>
        <w:t xml:space="preserve"> designated in accordance with the Optional Protocol to the Convention against Torture and Other Cruel, Inhuman or </w:t>
      </w:r>
      <w:r w:rsidR="00391459">
        <w:rPr>
          <w:rFonts w:ascii="Arial" w:hAnsi="Arial" w:cs="Arial"/>
        </w:rPr>
        <w:t>Degrading</w:t>
      </w:r>
      <w:r>
        <w:rPr>
          <w:rFonts w:ascii="Arial" w:hAnsi="Arial" w:cs="Arial"/>
        </w:rPr>
        <w:t xml:space="preserve"> Treatment or Punishment (“</w:t>
      </w:r>
      <w:proofErr w:type="spellStart"/>
      <w:r>
        <w:rPr>
          <w:rFonts w:ascii="Arial" w:hAnsi="Arial" w:cs="Arial"/>
        </w:rPr>
        <w:t>OPCAT</w:t>
      </w:r>
      <w:proofErr w:type="spellEnd"/>
      <w:r>
        <w:rPr>
          <w:rFonts w:ascii="Arial" w:hAnsi="Arial" w:cs="Arial"/>
        </w:rPr>
        <w:t xml:space="preserve">”).  The Commission welcomes the specific reference to </w:t>
      </w:r>
      <w:proofErr w:type="spellStart"/>
      <w:r>
        <w:rPr>
          <w:rFonts w:ascii="Arial" w:hAnsi="Arial" w:cs="Arial"/>
        </w:rPr>
        <w:t>OPCAT</w:t>
      </w:r>
      <w:proofErr w:type="spellEnd"/>
      <w:r>
        <w:rPr>
          <w:rFonts w:ascii="Arial" w:hAnsi="Arial" w:cs="Arial"/>
        </w:rPr>
        <w:t xml:space="preserve"> in section 93 of the Act and the objective of establishing a system of regular visits undertaken by independent international and national bodies to places where people are deprived of their liberty in order to prevent torture and other cruel, inhuman or degrading treatment or punishment.  </w:t>
      </w:r>
    </w:p>
    <w:p w:rsidR="00391459" w:rsidRPr="00870D04" w:rsidRDefault="00391459" w:rsidP="00391459">
      <w:pPr>
        <w:pStyle w:val="NormalWeb"/>
        <w:shd w:val="clear" w:color="auto" w:fill="FFFFFF"/>
        <w:ind w:left="360"/>
        <w:rPr>
          <w:rFonts w:ascii="Arial" w:hAnsi="Arial" w:cs="Arial"/>
          <w:i/>
        </w:rPr>
      </w:pPr>
    </w:p>
    <w:p w:rsidR="00F94896" w:rsidRPr="00CE7408" w:rsidRDefault="00870D04" w:rsidP="00F265AD">
      <w:pPr>
        <w:pStyle w:val="NormalWeb"/>
        <w:numPr>
          <w:ilvl w:val="0"/>
          <w:numId w:val="24"/>
        </w:numPr>
        <w:shd w:val="clear" w:color="auto" w:fill="FFFFFF"/>
        <w:rPr>
          <w:rFonts w:ascii="Arial" w:hAnsi="Arial" w:cs="Arial"/>
          <w:i/>
        </w:rPr>
      </w:pPr>
      <w:r>
        <w:rPr>
          <w:rFonts w:ascii="Arial" w:hAnsi="Arial" w:cs="Arial"/>
        </w:rPr>
        <w:t>The Commission also welcomes the provisions in section 95 of the Act relating to the Subcommittee on the Prevention against Torture and other Cruel, Inhuman or Degrading Treatment or Punishment</w:t>
      </w:r>
      <w:r w:rsidR="005C1024">
        <w:rPr>
          <w:rFonts w:ascii="Arial" w:hAnsi="Arial" w:cs="Arial"/>
        </w:rPr>
        <w:t xml:space="preserve"> (“</w:t>
      </w:r>
      <w:proofErr w:type="spellStart"/>
      <w:r w:rsidR="005C1024">
        <w:rPr>
          <w:rFonts w:ascii="Arial" w:hAnsi="Arial" w:cs="Arial"/>
        </w:rPr>
        <w:t>SPT</w:t>
      </w:r>
      <w:proofErr w:type="spellEnd"/>
      <w:r w:rsidR="005C1024">
        <w:rPr>
          <w:rFonts w:ascii="Arial" w:hAnsi="Arial" w:cs="Arial"/>
        </w:rPr>
        <w:t>”)</w:t>
      </w:r>
      <w:r>
        <w:rPr>
          <w:rFonts w:ascii="Arial" w:hAnsi="Arial" w:cs="Arial"/>
        </w:rPr>
        <w:t xml:space="preserve">.  These provisions reflect best practice and mirror those in </w:t>
      </w:r>
      <w:proofErr w:type="spellStart"/>
      <w:r>
        <w:rPr>
          <w:rFonts w:ascii="Arial" w:hAnsi="Arial" w:cs="Arial"/>
        </w:rPr>
        <w:t>OPCAT</w:t>
      </w:r>
      <w:proofErr w:type="spellEnd"/>
      <w:r>
        <w:rPr>
          <w:rFonts w:ascii="Arial" w:hAnsi="Arial" w:cs="Arial"/>
        </w:rPr>
        <w:t>.</w:t>
      </w:r>
    </w:p>
    <w:p w:rsidR="00462A00" w:rsidRPr="00F94896" w:rsidRDefault="00462A00" w:rsidP="00F265AD">
      <w:pPr>
        <w:pStyle w:val="NormalWeb"/>
        <w:shd w:val="clear" w:color="auto" w:fill="FFFFFF"/>
        <w:ind w:left="360"/>
        <w:rPr>
          <w:rFonts w:ascii="Arial" w:hAnsi="Arial" w:cs="Arial"/>
        </w:rPr>
      </w:pPr>
    </w:p>
    <w:p w:rsidR="00870D04" w:rsidRPr="00462A00" w:rsidRDefault="00462A00" w:rsidP="00F265AD">
      <w:pPr>
        <w:pStyle w:val="NormalWeb"/>
        <w:numPr>
          <w:ilvl w:val="0"/>
          <w:numId w:val="24"/>
        </w:numPr>
        <w:shd w:val="clear" w:color="auto" w:fill="FFFFFF"/>
        <w:rPr>
          <w:rFonts w:ascii="Arial" w:hAnsi="Arial" w:cs="Arial"/>
          <w:i/>
        </w:rPr>
      </w:pPr>
      <w:r>
        <w:rPr>
          <w:rFonts w:ascii="Arial" w:hAnsi="Arial" w:cs="Arial"/>
        </w:rPr>
        <w:t>The determination in relation to whether the grounds of refusal are met is currently delegated to a constable of the rank of inspector or above.</w:t>
      </w:r>
      <w:r>
        <w:rPr>
          <w:rStyle w:val="FootnoteReference"/>
          <w:rFonts w:ascii="Arial" w:hAnsi="Arial" w:cs="Arial"/>
        </w:rPr>
        <w:footnoteReference w:id="6"/>
      </w:r>
      <w:r>
        <w:rPr>
          <w:rFonts w:ascii="Arial" w:hAnsi="Arial" w:cs="Arial"/>
        </w:rPr>
        <w:t xml:space="preserve">  In its 2012 submission, the Commission made clear that, given that the purpose of independent custody visiting is to prevent torture and other cruel, inhuman or degrading treatment or punishment while in police custody, it was concerned that the decision to refuse access would be taken at an operational level, without any provision for authorisation or oversight.</w:t>
      </w:r>
      <w:r w:rsidR="0018034F">
        <w:rPr>
          <w:rFonts w:ascii="Arial" w:hAnsi="Arial" w:cs="Arial"/>
        </w:rPr>
        <w:t xml:space="preserve">  The Commission acknowledges that, while the inspector may be operationally removed in many instances, this may not always be the case.</w:t>
      </w:r>
      <w:r>
        <w:rPr>
          <w:rFonts w:ascii="Arial" w:hAnsi="Arial" w:cs="Arial"/>
        </w:rPr>
        <w:t xml:space="preserve"> </w:t>
      </w:r>
      <w:r w:rsidR="00D57E01">
        <w:rPr>
          <w:rFonts w:ascii="Arial" w:hAnsi="Arial" w:cs="Arial"/>
        </w:rPr>
        <w:t xml:space="preserve"> The Commission remains concerned</w:t>
      </w:r>
      <w:r>
        <w:rPr>
          <w:rFonts w:ascii="Arial" w:hAnsi="Arial" w:cs="Arial"/>
        </w:rPr>
        <w:t xml:space="preserve"> that section 94(4) of the Act gives authority for the refusal of a visit to the constable who is directly responsible for the treatment of the detainee.  </w:t>
      </w:r>
    </w:p>
    <w:p w:rsidR="00462A00" w:rsidRPr="00462A00" w:rsidRDefault="00462A00" w:rsidP="00F265AD">
      <w:pPr>
        <w:pStyle w:val="NormalWeb"/>
        <w:shd w:val="clear" w:color="auto" w:fill="FFFFFF"/>
        <w:ind w:left="360"/>
        <w:rPr>
          <w:rFonts w:ascii="Arial" w:hAnsi="Arial" w:cs="Arial"/>
          <w:i/>
        </w:rPr>
      </w:pPr>
    </w:p>
    <w:p w:rsidR="005C1024" w:rsidRDefault="00462A00" w:rsidP="00F265AD">
      <w:pPr>
        <w:pStyle w:val="NormalWeb"/>
        <w:shd w:val="clear" w:color="auto" w:fill="FFFFFF"/>
        <w:ind w:left="360"/>
        <w:rPr>
          <w:rFonts w:ascii="Arial" w:hAnsi="Arial" w:cs="Arial"/>
        </w:rPr>
      </w:pPr>
      <w:r>
        <w:rPr>
          <w:rFonts w:ascii="Arial" w:hAnsi="Arial" w:cs="Arial"/>
          <w:b/>
        </w:rPr>
        <w:lastRenderedPageBreak/>
        <w:t>Recommendation</w:t>
      </w:r>
      <w:r>
        <w:rPr>
          <w:rFonts w:ascii="Arial" w:hAnsi="Arial" w:cs="Arial"/>
        </w:rPr>
        <w:t>: In order</w:t>
      </w:r>
      <w:r w:rsidR="00AD6425">
        <w:rPr>
          <w:rFonts w:ascii="Arial" w:hAnsi="Arial" w:cs="Arial"/>
        </w:rPr>
        <w:t xml:space="preserve"> to meet t</w:t>
      </w:r>
      <w:r w:rsidR="00391459">
        <w:rPr>
          <w:rFonts w:ascii="Arial" w:hAnsi="Arial" w:cs="Arial"/>
        </w:rPr>
        <w:t xml:space="preserve">he objectives of </w:t>
      </w:r>
      <w:proofErr w:type="spellStart"/>
      <w:r w:rsidR="00391459">
        <w:rPr>
          <w:rFonts w:ascii="Arial" w:hAnsi="Arial" w:cs="Arial"/>
        </w:rPr>
        <w:t>OPCAT</w:t>
      </w:r>
      <w:proofErr w:type="spellEnd"/>
      <w:r w:rsidR="00391459">
        <w:rPr>
          <w:rFonts w:ascii="Arial" w:hAnsi="Arial" w:cs="Arial"/>
        </w:rPr>
        <w:t xml:space="preserve">, further </w:t>
      </w:r>
      <w:r w:rsidR="00AD6425">
        <w:rPr>
          <w:rFonts w:ascii="Arial" w:hAnsi="Arial" w:cs="Arial"/>
        </w:rPr>
        <w:t xml:space="preserve">consideration should be given to the procedure for refusing access.  </w:t>
      </w:r>
    </w:p>
    <w:p w:rsidR="005C1024" w:rsidRDefault="005C1024" w:rsidP="00F265AD">
      <w:pPr>
        <w:pStyle w:val="NormalWeb"/>
        <w:shd w:val="clear" w:color="auto" w:fill="FFFFFF"/>
        <w:ind w:left="360"/>
        <w:rPr>
          <w:rFonts w:ascii="Arial" w:hAnsi="Arial" w:cs="Arial"/>
        </w:rPr>
      </w:pPr>
    </w:p>
    <w:p w:rsidR="005C1024" w:rsidRDefault="005C1024" w:rsidP="00F265AD">
      <w:pPr>
        <w:pStyle w:val="NormalWeb"/>
        <w:numPr>
          <w:ilvl w:val="0"/>
          <w:numId w:val="24"/>
        </w:numPr>
        <w:shd w:val="clear" w:color="auto" w:fill="FFFFFF"/>
        <w:rPr>
          <w:rFonts w:ascii="Arial" w:hAnsi="Arial" w:cs="Arial"/>
        </w:rPr>
      </w:pPr>
      <w:r>
        <w:rPr>
          <w:rFonts w:ascii="Arial" w:hAnsi="Arial" w:cs="Arial"/>
        </w:rPr>
        <w:t xml:space="preserve">The Commission also draws the Committee’s attention to the general importance of awareness raising around </w:t>
      </w:r>
      <w:proofErr w:type="spellStart"/>
      <w:r>
        <w:rPr>
          <w:rFonts w:ascii="Arial" w:hAnsi="Arial" w:cs="Arial"/>
        </w:rPr>
        <w:t>OPCAT</w:t>
      </w:r>
      <w:proofErr w:type="spellEnd"/>
      <w:r>
        <w:rPr>
          <w:rFonts w:ascii="Arial" w:hAnsi="Arial" w:cs="Arial"/>
        </w:rPr>
        <w:t xml:space="preserve"> and Chapter 16 of the Act.  This is important for the successful implementation of Chapter 16.  The Commission reiterates that the following points should be addressed to ensure the effective operation of independent custody visiting:</w:t>
      </w:r>
    </w:p>
    <w:p w:rsidR="00FD346F" w:rsidRDefault="00FD346F" w:rsidP="002D4433">
      <w:pPr>
        <w:pStyle w:val="NormalWeb"/>
        <w:shd w:val="clear" w:color="auto" w:fill="FFFFFF"/>
        <w:ind w:left="360"/>
        <w:rPr>
          <w:rFonts w:ascii="Arial" w:hAnsi="Arial" w:cs="Arial"/>
        </w:rPr>
      </w:pPr>
    </w:p>
    <w:p w:rsidR="005C1024" w:rsidRDefault="00FD346F" w:rsidP="00F265AD">
      <w:pPr>
        <w:pStyle w:val="NormalWeb"/>
        <w:numPr>
          <w:ilvl w:val="1"/>
          <w:numId w:val="24"/>
        </w:numPr>
        <w:shd w:val="clear" w:color="auto" w:fill="FFFFFF"/>
        <w:rPr>
          <w:rFonts w:ascii="Arial" w:hAnsi="Arial" w:cs="Arial"/>
        </w:rPr>
      </w:pPr>
      <w:r>
        <w:rPr>
          <w:rFonts w:ascii="Arial" w:hAnsi="Arial" w:cs="Arial"/>
        </w:rPr>
        <w:t>C</w:t>
      </w:r>
      <w:r w:rsidRPr="005C1024">
        <w:rPr>
          <w:rFonts w:ascii="Arial" w:hAnsi="Arial" w:cs="Arial"/>
        </w:rPr>
        <w:t xml:space="preserve">ustody </w:t>
      </w:r>
      <w:r w:rsidR="005C1024" w:rsidRPr="005C1024">
        <w:rPr>
          <w:rFonts w:ascii="Arial" w:hAnsi="Arial" w:cs="Arial"/>
        </w:rPr>
        <w:t xml:space="preserve">visiting must be adequately resourced as required by Article 18 of </w:t>
      </w:r>
      <w:proofErr w:type="spellStart"/>
      <w:r w:rsidR="005C1024" w:rsidRPr="005C1024">
        <w:rPr>
          <w:rFonts w:ascii="Arial" w:hAnsi="Arial" w:cs="Arial"/>
        </w:rPr>
        <w:t>OPCAT</w:t>
      </w:r>
      <w:proofErr w:type="spellEnd"/>
      <w:r w:rsidR="005C1024" w:rsidRPr="005C1024">
        <w:rPr>
          <w:rFonts w:ascii="Arial" w:hAnsi="Arial" w:cs="Arial"/>
        </w:rPr>
        <w:t xml:space="preserve"> and set out in paragraph 11 of the </w:t>
      </w:r>
      <w:proofErr w:type="spellStart"/>
      <w:r w:rsidR="005C1024" w:rsidRPr="005C1024">
        <w:rPr>
          <w:rFonts w:ascii="Arial" w:hAnsi="Arial" w:cs="Arial"/>
        </w:rPr>
        <w:t>SPT</w:t>
      </w:r>
      <w:proofErr w:type="spellEnd"/>
      <w:r w:rsidR="005C1024" w:rsidRPr="005C1024">
        <w:rPr>
          <w:rFonts w:ascii="Arial" w:hAnsi="Arial" w:cs="Arial"/>
        </w:rPr>
        <w:t xml:space="preserve"> Guidelines</w:t>
      </w:r>
      <w:r w:rsidR="005C1024">
        <w:rPr>
          <w:rFonts w:ascii="Arial" w:hAnsi="Arial" w:cs="Arial"/>
        </w:rPr>
        <w:t>;</w:t>
      </w:r>
      <w:r w:rsidR="005C1024">
        <w:rPr>
          <w:rStyle w:val="FootnoteReference"/>
          <w:rFonts w:ascii="Arial" w:hAnsi="Arial" w:cs="Arial"/>
        </w:rPr>
        <w:footnoteReference w:id="7"/>
      </w:r>
    </w:p>
    <w:p w:rsidR="005C1024" w:rsidRPr="005C1024" w:rsidRDefault="00FD346F" w:rsidP="00F265AD">
      <w:pPr>
        <w:pStyle w:val="NormalWeb"/>
        <w:numPr>
          <w:ilvl w:val="1"/>
          <w:numId w:val="24"/>
        </w:numPr>
        <w:shd w:val="clear" w:color="auto" w:fill="FFFFFF"/>
        <w:rPr>
          <w:rFonts w:ascii="Arial" w:hAnsi="Arial" w:cs="Arial"/>
        </w:rPr>
      </w:pPr>
      <w:r>
        <w:rPr>
          <w:rFonts w:ascii="Arial" w:hAnsi="Arial" w:cs="Arial"/>
        </w:rPr>
        <w:t>T</w:t>
      </w:r>
      <w:r w:rsidRPr="005C1024">
        <w:rPr>
          <w:rFonts w:ascii="Arial" w:hAnsi="Arial" w:cs="Arial"/>
        </w:rPr>
        <w:t xml:space="preserve">he </w:t>
      </w:r>
      <w:r w:rsidR="005C1024" w:rsidRPr="005C1024">
        <w:rPr>
          <w:rFonts w:ascii="Arial" w:hAnsi="Arial" w:cs="Arial"/>
        </w:rPr>
        <w:t xml:space="preserve">terms of office of custody visitors should be specified (paragraph 9, </w:t>
      </w:r>
      <w:proofErr w:type="spellStart"/>
      <w:r w:rsidR="005C1024" w:rsidRPr="005C1024">
        <w:rPr>
          <w:rFonts w:ascii="Arial" w:hAnsi="Arial" w:cs="Arial"/>
        </w:rPr>
        <w:t>SPT</w:t>
      </w:r>
      <w:proofErr w:type="spellEnd"/>
      <w:r w:rsidR="005C1024" w:rsidRPr="005C1024">
        <w:rPr>
          <w:rFonts w:ascii="Arial" w:hAnsi="Arial" w:cs="Arial"/>
        </w:rPr>
        <w:t xml:space="preserve"> Guidelines); </w:t>
      </w:r>
    </w:p>
    <w:p w:rsidR="005C1024" w:rsidRPr="005C1024" w:rsidRDefault="00FD346F" w:rsidP="00F265AD">
      <w:pPr>
        <w:pStyle w:val="NormalWeb"/>
        <w:numPr>
          <w:ilvl w:val="1"/>
          <w:numId w:val="24"/>
        </w:numPr>
        <w:shd w:val="clear" w:color="auto" w:fill="FFFFFF"/>
        <w:rPr>
          <w:rFonts w:ascii="Arial" w:hAnsi="Arial" w:cs="Arial"/>
        </w:rPr>
      </w:pPr>
      <w:r>
        <w:rPr>
          <w:rFonts w:ascii="Arial" w:hAnsi="Arial" w:cs="Arial"/>
        </w:rPr>
        <w:t>C</w:t>
      </w:r>
      <w:r w:rsidRPr="005C1024">
        <w:rPr>
          <w:rFonts w:ascii="Arial" w:hAnsi="Arial" w:cs="Arial"/>
        </w:rPr>
        <w:t xml:space="preserve">ustody </w:t>
      </w:r>
      <w:r w:rsidR="005C1024" w:rsidRPr="005C1024">
        <w:rPr>
          <w:rFonts w:ascii="Arial" w:hAnsi="Arial" w:cs="Arial"/>
        </w:rPr>
        <w:t xml:space="preserve">visiting should enjoy financial and operational autonomy (paragraph 12, </w:t>
      </w:r>
      <w:proofErr w:type="spellStart"/>
      <w:r w:rsidR="005C1024" w:rsidRPr="005C1024">
        <w:rPr>
          <w:rFonts w:ascii="Arial" w:hAnsi="Arial" w:cs="Arial"/>
        </w:rPr>
        <w:t>SPT</w:t>
      </w:r>
      <w:proofErr w:type="spellEnd"/>
      <w:r w:rsidR="005C1024" w:rsidRPr="005C1024">
        <w:rPr>
          <w:rFonts w:ascii="Arial" w:hAnsi="Arial" w:cs="Arial"/>
        </w:rPr>
        <w:t xml:space="preserve"> Guidelines); </w:t>
      </w:r>
    </w:p>
    <w:p w:rsidR="005C1024" w:rsidRPr="005C1024" w:rsidRDefault="00FD346F" w:rsidP="00F265AD">
      <w:pPr>
        <w:pStyle w:val="NormalWeb"/>
        <w:numPr>
          <w:ilvl w:val="1"/>
          <w:numId w:val="24"/>
        </w:numPr>
        <w:shd w:val="clear" w:color="auto" w:fill="FFFFFF"/>
        <w:rPr>
          <w:rFonts w:ascii="Arial" w:hAnsi="Arial" w:cs="Arial"/>
        </w:rPr>
      </w:pPr>
      <w:r>
        <w:rPr>
          <w:rFonts w:ascii="Arial" w:hAnsi="Arial" w:cs="Arial"/>
        </w:rPr>
        <w:t>T</w:t>
      </w:r>
      <w:r w:rsidRPr="005C1024">
        <w:rPr>
          <w:rFonts w:ascii="Arial" w:hAnsi="Arial" w:cs="Arial"/>
        </w:rPr>
        <w:t xml:space="preserve">here </w:t>
      </w:r>
      <w:r w:rsidR="005C1024" w:rsidRPr="005C1024">
        <w:rPr>
          <w:rFonts w:ascii="Arial" w:hAnsi="Arial" w:cs="Arial"/>
        </w:rPr>
        <w:t xml:space="preserve">should be a follow-up process between the police authorities and/or government and custody visitors to ensure recommendations are addressed (paragraph 13); and </w:t>
      </w:r>
    </w:p>
    <w:p w:rsidR="005C1024" w:rsidRPr="005C1024" w:rsidRDefault="00FD346F" w:rsidP="00F265AD">
      <w:pPr>
        <w:pStyle w:val="NormalWeb"/>
        <w:numPr>
          <w:ilvl w:val="1"/>
          <w:numId w:val="24"/>
        </w:numPr>
        <w:shd w:val="clear" w:color="auto" w:fill="FFFFFF"/>
        <w:rPr>
          <w:rFonts w:ascii="Arial" w:hAnsi="Arial" w:cs="Arial"/>
        </w:rPr>
      </w:pPr>
      <w:r>
        <w:rPr>
          <w:rFonts w:ascii="Arial" w:hAnsi="Arial" w:cs="Arial"/>
        </w:rPr>
        <w:t>C</w:t>
      </w:r>
      <w:r w:rsidRPr="005C1024">
        <w:rPr>
          <w:rFonts w:ascii="Arial" w:hAnsi="Arial" w:cs="Arial"/>
        </w:rPr>
        <w:t xml:space="preserve">ustody </w:t>
      </w:r>
      <w:r w:rsidR="005C1024" w:rsidRPr="005C1024">
        <w:rPr>
          <w:rFonts w:ascii="Arial" w:hAnsi="Arial" w:cs="Arial"/>
        </w:rPr>
        <w:t xml:space="preserve">visitors should take into account human rights standards when carrying out visits (paragraph 36, </w:t>
      </w:r>
      <w:proofErr w:type="spellStart"/>
      <w:r w:rsidR="005C1024" w:rsidRPr="005C1024">
        <w:rPr>
          <w:rFonts w:ascii="Arial" w:hAnsi="Arial" w:cs="Arial"/>
        </w:rPr>
        <w:t>SPT</w:t>
      </w:r>
      <w:proofErr w:type="spellEnd"/>
      <w:r w:rsidR="005C1024" w:rsidRPr="005C1024">
        <w:rPr>
          <w:rFonts w:ascii="Arial" w:hAnsi="Arial" w:cs="Arial"/>
        </w:rPr>
        <w:t xml:space="preserve"> Guidelines).</w:t>
      </w:r>
    </w:p>
    <w:p w:rsidR="001562BE" w:rsidRPr="001562BE" w:rsidRDefault="001562BE" w:rsidP="00F265AD">
      <w:pPr>
        <w:pStyle w:val="NormalWeb"/>
        <w:shd w:val="clear" w:color="auto" w:fill="FFFFFF"/>
        <w:rPr>
          <w:rFonts w:ascii="Arial" w:hAnsi="Arial" w:cs="Arial"/>
        </w:rPr>
      </w:pPr>
    </w:p>
    <w:p w:rsidR="00EE622E" w:rsidRPr="00EE622E" w:rsidRDefault="00EE622E" w:rsidP="00F265AD">
      <w:pPr>
        <w:spacing w:line="240" w:lineRule="auto"/>
        <w:rPr>
          <w:rFonts w:ascii="Arial" w:hAnsi="Arial" w:cs="Arial"/>
          <w:b/>
          <w:sz w:val="24"/>
          <w:szCs w:val="24"/>
        </w:rPr>
      </w:pPr>
      <w:r w:rsidRPr="00EE622E">
        <w:rPr>
          <w:rFonts w:ascii="Arial" w:hAnsi="Arial" w:cs="Arial"/>
          <w:b/>
          <w:sz w:val="24"/>
          <w:szCs w:val="24"/>
        </w:rPr>
        <w:t xml:space="preserve">Recommendations relevant to the Independent Complaints and Investigation Mechanism  </w:t>
      </w:r>
    </w:p>
    <w:p w:rsidR="00EE622E" w:rsidRDefault="00EE622E" w:rsidP="00F265AD">
      <w:pPr>
        <w:pStyle w:val="ListParagraph"/>
        <w:numPr>
          <w:ilvl w:val="0"/>
          <w:numId w:val="24"/>
        </w:numPr>
        <w:spacing w:line="240" w:lineRule="auto"/>
        <w:rPr>
          <w:rFonts w:ascii="Arial" w:hAnsi="Arial" w:cs="Arial"/>
          <w:sz w:val="24"/>
          <w:szCs w:val="24"/>
        </w:rPr>
      </w:pPr>
      <w:r w:rsidRPr="00C32CDB">
        <w:rPr>
          <w:rFonts w:ascii="Arial" w:hAnsi="Arial" w:cs="Arial"/>
          <w:sz w:val="24"/>
          <w:szCs w:val="24"/>
        </w:rPr>
        <w:t>In 2012, the Commission welcomed the establishment of the Police Investigations and Review Commissioner (“</w:t>
      </w:r>
      <w:proofErr w:type="spellStart"/>
      <w:r w:rsidRPr="00C32CDB">
        <w:rPr>
          <w:rFonts w:ascii="Arial" w:hAnsi="Arial" w:cs="Arial"/>
          <w:sz w:val="24"/>
          <w:szCs w:val="24"/>
        </w:rPr>
        <w:t>PIRC</w:t>
      </w:r>
      <w:proofErr w:type="spellEnd"/>
      <w:r w:rsidRPr="00C32CDB">
        <w:rPr>
          <w:rFonts w:ascii="Arial" w:hAnsi="Arial" w:cs="Arial"/>
          <w:sz w:val="24"/>
          <w:szCs w:val="24"/>
        </w:rPr>
        <w:t>”) as a new independent investigation mechanism and made recommendations to ensure its effective functioning.</w:t>
      </w:r>
      <w:r w:rsidRPr="00C32CDB">
        <w:rPr>
          <w:rStyle w:val="FootnoteReference"/>
          <w:rFonts w:ascii="Arial" w:hAnsi="Arial" w:cs="Arial"/>
          <w:sz w:val="24"/>
          <w:szCs w:val="24"/>
        </w:rPr>
        <w:t xml:space="preserve"> </w:t>
      </w:r>
      <w:r w:rsidRPr="00EE622E">
        <w:rPr>
          <w:rStyle w:val="FootnoteReference"/>
          <w:rFonts w:ascii="Arial" w:hAnsi="Arial" w:cs="Arial"/>
          <w:sz w:val="24"/>
          <w:szCs w:val="24"/>
        </w:rPr>
        <w:footnoteReference w:id="8"/>
      </w:r>
      <w:r w:rsidRPr="00C32CDB">
        <w:rPr>
          <w:rFonts w:ascii="Arial" w:hAnsi="Arial" w:cs="Arial"/>
          <w:sz w:val="24"/>
          <w:szCs w:val="24"/>
        </w:rPr>
        <w:t xml:space="preserve">  The Commission provided further in-depth analysis in its submission on the Proposals for Regulations relating to Investigations (the “2013 submission”).    </w:t>
      </w:r>
    </w:p>
    <w:p w:rsidR="00462A00" w:rsidRPr="00462A00" w:rsidRDefault="00462A00" w:rsidP="00F265AD">
      <w:pPr>
        <w:pStyle w:val="ListParagraph"/>
        <w:spacing w:line="240" w:lineRule="auto"/>
        <w:ind w:left="360"/>
        <w:rPr>
          <w:rFonts w:ascii="Arial" w:hAnsi="Arial" w:cs="Arial"/>
          <w:sz w:val="24"/>
          <w:szCs w:val="24"/>
        </w:rPr>
      </w:pPr>
    </w:p>
    <w:p w:rsidR="00462A00" w:rsidRPr="00581336" w:rsidRDefault="00EE622E" w:rsidP="00F265AD">
      <w:pPr>
        <w:pStyle w:val="ListParagraph"/>
        <w:numPr>
          <w:ilvl w:val="0"/>
          <w:numId w:val="24"/>
        </w:numPr>
        <w:spacing w:line="240" w:lineRule="auto"/>
        <w:rPr>
          <w:rFonts w:ascii="Arial" w:hAnsi="Arial" w:cs="Arial"/>
          <w:sz w:val="24"/>
          <w:szCs w:val="24"/>
        </w:rPr>
      </w:pPr>
      <w:r w:rsidRPr="00C32CDB">
        <w:rPr>
          <w:rFonts w:ascii="Arial" w:hAnsi="Arial" w:cs="Arial"/>
          <w:sz w:val="24"/>
          <w:szCs w:val="24"/>
        </w:rPr>
        <w:t xml:space="preserve">The Commission provides </w:t>
      </w:r>
      <w:r w:rsidR="00C32CDB" w:rsidRPr="00C32CDB">
        <w:rPr>
          <w:rFonts w:ascii="Arial" w:hAnsi="Arial" w:cs="Arial"/>
          <w:sz w:val="24"/>
          <w:szCs w:val="24"/>
        </w:rPr>
        <w:t xml:space="preserve">recommendations relevant to The Police Investigations and Review Commissioner (Investigations Procedure, Serious Incidents and Specified Weapons) Regulations </w:t>
      </w:r>
      <w:r w:rsidR="00581336">
        <w:rPr>
          <w:rFonts w:ascii="Arial" w:hAnsi="Arial" w:cs="Arial"/>
          <w:sz w:val="24"/>
          <w:szCs w:val="24"/>
        </w:rPr>
        <w:t xml:space="preserve">2013 </w:t>
      </w:r>
      <w:r w:rsidR="00C32CDB" w:rsidRPr="00C32CDB">
        <w:rPr>
          <w:rFonts w:ascii="Arial" w:hAnsi="Arial" w:cs="Arial"/>
          <w:sz w:val="24"/>
          <w:szCs w:val="24"/>
        </w:rPr>
        <w:t>(the “Regulations”)</w:t>
      </w:r>
      <w:r w:rsidRPr="00C32CDB">
        <w:rPr>
          <w:rFonts w:ascii="Arial" w:hAnsi="Arial" w:cs="Arial"/>
          <w:sz w:val="24"/>
          <w:szCs w:val="24"/>
        </w:rPr>
        <w:t xml:space="preserve"> below</w:t>
      </w:r>
      <w:r w:rsidR="00FD346F">
        <w:rPr>
          <w:rFonts w:ascii="Arial" w:hAnsi="Arial" w:cs="Arial"/>
          <w:sz w:val="24"/>
          <w:szCs w:val="24"/>
        </w:rPr>
        <w:t>,</w:t>
      </w:r>
      <w:r w:rsidRPr="00C32CDB">
        <w:rPr>
          <w:rFonts w:ascii="Arial" w:hAnsi="Arial" w:cs="Arial"/>
          <w:sz w:val="24"/>
          <w:szCs w:val="24"/>
        </w:rPr>
        <w:t xml:space="preserve"> drawing on its 2013 submission.  </w:t>
      </w:r>
    </w:p>
    <w:p w:rsidR="00EE622E" w:rsidRPr="00EE622E" w:rsidRDefault="00EE622E" w:rsidP="00F265AD">
      <w:pPr>
        <w:spacing w:line="240" w:lineRule="auto"/>
        <w:rPr>
          <w:rFonts w:ascii="Arial" w:hAnsi="Arial" w:cs="Arial"/>
          <w:i/>
          <w:sz w:val="24"/>
          <w:szCs w:val="24"/>
        </w:rPr>
      </w:pPr>
      <w:proofErr w:type="spellStart"/>
      <w:r w:rsidRPr="00EE622E">
        <w:rPr>
          <w:rFonts w:ascii="Arial" w:hAnsi="Arial" w:cs="Arial"/>
          <w:i/>
          <w:sz w:val="24"/>
          <w:szCs w:val="24"/>
        </w:rPr>
        <w:t>ECHR</w:t>
      </w:r>
      <w:proofErr w:type="spellEnd"/>
      <w:r w:rsidRPr="00EE622E">
        <w:rPr>
          <w:rFonts w:ascii="Arial" w:hAnsi="Arial" w:cs="Arial"/>
          <w:i/>
          <w:sz w:val="24"/>
          <w:szCs w:val="24"/>
        </w:rPr>
        <w:t xml:space="preserve"> requirements regarding effective investigations</w:t>
      </w:r>
    </w:p>
    <w:p w:rsidR="00EE622E" w:rsidRDefault="00C32CDB" w:rsidP="00F265AD">
      <w:pPr>
        <w:pStyle w:val="ListParagraph"/>
        <w:numPr>
          <w:ilvl w:val="0"/>
          <w:numId w:val="24"/>
        </w:numPr>
        <w:spacing w:line="240" w:lineRule="auto"/>
        <w:rPr>
          <w:rFonts w:ascii="Arial" w:hAnsi="Arial" w:cs="Arial"/>
          <w:sz w:val="24"/>
          <w:szCs w:val="24"/>
        </w:rPr>
      </w:pPr>
      <w:r w:rsidRPr="00C32CDB">
        <w:rPr>
          <w:rFonts w:ascii="Arial" w:hAnsi="Arial" w:cs="Arial"/>
          <w:sz w:val="24"/>
          <w:szCs w:val="24"/>
        </w:rPr>
        <w:t>Both the Act</w:t>
      </w:r>
      <w:r w:rsidR="00EE622E" w:rsidRPr="00C32CDB">
        <w:rPr>
          <w:rFonts w:ascii="Arial" w:hAnsi="Arial" w:cs="Arial"/>
          <w:sz w:val="24"/>
          <w:szCs w:val="24"/>
        </w:rPr>
        <w:t xml:space="preserve"> and the Regulations fail to make any reference to the essential requirements that must be met in order for the Scottish Government to discharge their procedural obligations under Articles 2 and 3 of the </w:t>
      </w:r>
      <w:proofErr w:type="spellStart"/>
      <w:r w:rsidR="00EE622E" w:rsidRPr="00C32CDB">
        <w:rPr>
          <w:rFonts w:ascii="Arial" w:hAnsi="Arial" w:cs="Arial"/>
          <w:sz w:val="24"/>
          <w:szCs w:val="24"/>
        </w:rPr>
        <w:t>ECHR</w:t>
      </w:r>
      <w:proofErr w:type="spellEnd"/>
      <w:r w:rsidR="00EE622E" w:rsidRPr="00C32CDB">
        <w:rPr>
          <w:rFonts w:ascii="Arial" w:hAnsi="Arial" w:cs="Arial"/>
          <w:sz w:val="24"/>
          <w:szCs w:val="24"/>
        </w:rPr>
        <w:t xml:space="preserve">, which protect the right to life and freedom from torture, inhuman or degrading treatment or punishment respectively.  </w:t>
      </w:r>
    </w:p>
    <w:p w:rsidR="00C32CDB" w:rsidRPr="00C32CDB" w:rsidRDefault="00C32CDB" w:rsidP="00F265AD">
      <w:pPr>
        <w:pStyle w:val="ListParagraph"/>
        <w:spacing w:line="240" w:lineRule="auto"/>
        <w:ind w:left="360"/>
        <w:rPr>
          <w:rFonts w:ascii="Arial" w:hAnsi="Arial" w:cs="Arial"/>
          <w:sz w:val="24"/>
          <w:szCs w:val="24"/>
        </w:rPr>
      </w:pPr>
    </w:p>
    <w:p w:rsidR="00EE622E" w:rsidRPr="00C32CDB" w:rsidRDefault="00EE622E" w:rsidP="00F265AD">
      <w:pPr>
        <w:pStyle w:val="ListParagraph"/>
        <w:numPr>
          <w:ilvl w:val="0"/>
          <w:numId w:val="24"/>
        </w:numPr>
        <w:spacing w:line="240" w:lineRule="auto"/>
        <w:rPr>
          <w:rFonts w:ascii="Arial" w:hAnsi="Arial" w:cs="Arial"/>
          <w:sz w:val="24"/>
          <w:szCs w:val="24"/>
        </w:rPr>
      </w:pPr>
      <w:r w:rsidRPr="00C32CDB">
        <w:rPr>
          <w:rFonts w:ascii="Arial" w:hAnsi="Arial" w:cs="Arial"/>
          <w:sz w:val="24"/>
          <w:szCs w:val="24"/>
        </w:rPr>
        <w:lastRenderedPageBreak/>
        <w:t>The requirement for effective official investigation where individuals have been killed or seriously injured as a result of actions of state agents is settled jurisprudence of the European Court of Human Rights.</w:t>
      </w:r>
      <w:r w:rsidRPr="00EE622E">
        <w:rPr>
          <w:rStyle w:val="FootnoteReference"/>
          <w:rFonts w:ascii="Arial" w:hAnsi="Arial" w:cs="Arial"/>
          <w:sz w:val="24"/>
          <w:szCs w:val="24"/>
        </w:rPr>
        <w:footnoteReference w:id="9"/>
      </w:r>
      <w:r w:rsidRPr="00C32CDB">
        <w:rPr>
          <w:rFonts w:ascii="Arial" w:hAnsi="Arial" w:cs="Arial"/>
          <w:sz w:val="24"/>
          <w:szCs w:val="24"/>
        </w:rPr>
        <w:t xml:space="preserve">  In these circumstances any investigation must be:</w:t>
      </w:r>
    </w:p>
    <w:p w:rsidR="00EE622E" w:rsidRPr="00EE622E" w:rsidRDefault="00EE622E" w:rsidP="00F265AD">
      <w:pPr>
        <w:numPr>
          <w:ilvl w:val="0"/>
          <w:numId w:val="23"/>
        </w:numPr>
        <w:spacing w:after="0" w:line="240" w:lineRule="auto"/>
        <w:rPr>
          <w:rFonts w:ascii="Arial" w:hAnsi="Arial" w:cs="Arial"/>
          <w:sz w:val="24"/>
          <w:szCs w:val="24"/>
        </w:rPr>
      </w:pPr>
      <w:r w:rsidRPr="00EE622E">
        <w:rPr>
          <w:rFonts w:ascii="Arial" w:hAnsi="Arial" w:cs="Arial"/>
          <w:b/>
          <w:sz w:val="24"/>
          <w:szCs w:val="24"/>
        </w:rPr>
        <w:t xml:space="preserve">Independent.  </w:t>
      </w:r>
      <w:r w:rsidRPr="00EE622E">
        <w:rPr>
          <w:rFonts w:ascii="Arial" w:hAnsi="Arial" w:cs="Arial"/>
          <w:sz w:val="24"/>
          <w:szCs w:val="24"/>
        </w:rPr>
        <w:t>There should be no institutional or hierarchical connections between the investigators and the officer about whom a complaint has been made and there should be practical independence;</w:t>
      </w:r>
    </w:p>
    <w:p w:rsidR="00EE622E" w:rsidRPr="00EE622E" w:rsidRDefault="00EE622E" w:rsidP="00F265AD">
      <w:pPr>
        <w:numPr>
          <w:ilvl w:val="0"/>
          <w:numId w:val="23"/>
        </w:numPr>
        <w:spacing w:after="0" w:line="240" w:lineRule="auto"/>
        <w:rPr>
          <w:rFonts w:ascii="Arial" w:hAnsi="Arial" w:cs="Arial"/>
          <w:sz w:val="24"/>
          <w:szCs w:val="24"/>
        </w:rPr>
      </w:pPr>
      <w:r w:rsidRPr="00EE622E">
        <w:rPr>
          <w:rFonts w:ascii="Arial" w:hAnsi="Arial" w:cs="Arial"/>
          <w:b/>
          <w:sz w:val="24"/>
          <w:szCs w:val="24"/>
        </w:rPr>
        <w:t>Effective</w:t>
      </w:r>
      <w:r w:rsidRPr="00EE622E">
        <w:rPr>
          <w:rFonts w:ascii="Arial" w:hAnsi="Arial" w:cs="Arial"/>
          <w:sz w:val="24"/>
          <w:szCs w:val="24"/>
        </w:rPr>
        <w:t xml:space="preserve">.  The investigation should be capable of gathering evidence to determine whether police </w:t>
      </w:r>
      <w:r w:rsidR="00C32CDB" w:rsidRPr="00EE622E">
        <w:rPr>
          <w:rFonts w:ascii="Arial" w:hAnsi="Arial" w:cs="Arial"/>
          <w:sz w:val="24"/>
          <w:szCs w:val="24"/>
        </w:rPr>
        <w:t>behaviour</w:t>
      </w:r>
      <w:r w:rsidRPr="00EE622E">
        <w:rPr>
          <w:rFonts w:ascii="Arial" w:hAnsi="Arial" w:cs="Arial"/>
          <w:sz w:val="24"/>
          <w:szCs w:val="24"/>
        </w:rPr>
        <w:t xml:space="preserve"> complained of was unlawful and, if so, to identify and punish those responsible;</w:t>
      </w:r>
    </w:p>
    <w:p w:rsidR="00EE622E" w:rsidRPr="00EE622E" w:rsidRDefault="00EE622E" w:rsidP="00F265AD">
      <w:pPr>
        <w:numPr>
          <w:ilvl w:val="0"/>
          <w:numId w:val="23"/>
        </w:numPr>
        <w:spacing w:after="0" w:line="240" w:lineRule="auto"/>
        <w:rPr>
          <w:rFonts w:ascii="Arial" w:hAnsi="Arial" w:cs="Arial"/>
          <w:sz w:val="24"/>
          <w:szCs w:val="24"/>
        </w:rPr>
      </w:pPr>
      <w:r w:rsidRPr="00EE622E">
        <w:rPr>
          <w:rFonts w:ascii="Arial" w:hAnsi="Arial" w:cs="Arial"/>
          <w:b/>
          <w:sz w:val="24"/>
          <w:szCs w:val="24"/>
        </w:rPr>
        <w:t>Prompt</w:t>
      </w:r>
      <w:r w:rsidRPr="00EE622E">
        <w:rPr>
          <w:rFonts w:ascii="Arial" w:hAnsi="Arial" w:cs="Arial"/>
          <w:sz w:val="24"/>
          <w:szCs w:val="24"/>
        </w:rPr>
        <w:t>.  The investigation should be conducted promptly and in an expeditious manner in order to maintain confidence in the rule of law;</w:t>
      </w:r>
    </w:p>
    <w:p w:rsidR="00EE622E" w:rsidRPr="00EE622E" w:rsidRDefault="00EE622E" w:rsidP="00F265AD">
      <w:pPr>
        <w:numPr>
          <w:ilvl w:val="0"/>
          <w:numId w:val="23"/>
        </w:numPr>
        <w:spacing w:after="0" w:line="240" w:lineRule="auto"/>
        <w:rPr>
          <w:rFonts w:ascii="Arial" w:hAnsi="Arial" w:cs="Arial"/>
          <w:sz w:val="24"/>
          <w:szCs w:val="24"/>
        </w:rPr>
      </w:pPr>
      <w:r w:rsidRPr="00EE622E">
        <w:rPr>
          <w:rFonts w:ascii="Arial" w:hAnsi="Arial" w:cs="Arial"/>
          <w:b/>
          <w:sz w:val="24"/>
          <w:szCs w:val="24"/>
        </w:rPr>
        <w:t>Open to public scrutiny</w:t>
      </w:r>
      <w:r w:rsidRPr="00EE622E">
        <w:rPr>
          <w:rFonts w:ascii="Arial" w:hAnsi="Arial" w:cs="Arial"/>
          <w:sz w:val="24"/>
          <w:szCs w:val="24"/>
        </w:rPr>
        <w:t>.  Procedures and decision-making should be open and transparent in order to ensure accountability; and</w:t>
      </w:r>
    </w:p>
    <w:p w:rsidR="00EE622E" w:rsidRDefault="00EE622E" w:rsidP="00F265AD">
      <w:pPr>
        <w:numPr>
          <w:ilvl w:val="0"/>
          <w:numId w:val="23"/>
        </w:numPr>
        <w:spacing w:after="0" w:line="240" w:lineRule="auto"/>
        <w:rPr>
          <w:rFonts w:ascii="Arial" w:hAnsi="Arial" w:cs="Arial"/>
          <w:sz w:val="24"/>
          <w:szCs w:val="24"/>
        </w:rPr>
      </w:pPr>
      <w:r w:rsidRPr="00EE622E">
        <w:rPr>
          <w:rFonts w:ascii="Arial" w:hAnsi="Arial" w:cs="Arial"/>
          <w:b/>
          <w:sz w:val="24"/>
          <w:szCs w:val="24"/>
        </w:rPr>
        <w:t xml:space="preserve">Involve the victim or victim’s family where the victim is deceased.  </w:t>
      </w:r>
      <w:r w:rsidRPr="00EE622E">
        <w:rPr>
          <w:rFonts w:ascii="Arial" w:hAnsi="Arial" w:cs="Arial"/>
          <w:sz w:val="24"/>
          <w:szCs w:val="24"/>
        </w:rPr>
        <w:t xml:space="preserve">The complainant (or the complainant’s family) should be involved in the complaints process in order to safeguard their legitimate interests.  </w:t>
      </w:r>
    </w:p>
    <w:p w:rsidR="0061055F" w:rsidRPr="0061055F" w:rsidRDefault="0061055F" w:rsidP="0061055F">
      <w:pPr>
        <w:spacing w:after="0" w:line="240" w:lineRule="auto"/>
        <w:ind w:left="780"/>
        <w:rPr>
          <w:rFonts w:ascii="Arial" w:hAnsi="Arial" w:cs="Arial"/>
          <w:sz w:val="24"/>
          <w:szCs w:val="24"/>
        </w:rPr>
      </w:pPr>
    </w:p>
    <w:p w:rsidR="00EE622E" w:rsidRPr="00C32CDB" w:rsidRDefault="00EE622E" w:rsidP="00F265AD">
      <w:pPr>
        <w:pStyle w:val="ListParagraph"/>
        <w:numPr>
          <w:ilvl w:val="0"/>
          <w:numId w:val="24"/>
        </w:numPr>
        <w:spacing w:line="240" w:lineRule="auto"/>
        <w:rPr>
          <w:rFonts w:ascii="Arial" w:hAnsi="Arial" w:cs="Arial"/>
          <w:sz w:val="24"/>
          <w:szCs w:val="24"/>
        </w:rPr>
      </w:pPr>
      <w:r w:rsidRPr="00C32CDB">
        <w:rPr>
          <w:rFonts w:ascii="Arial" w:hAnsi="Arial" w:cs="Arial"/>
          <w:sz w:val="24"/>
          <w:szCs w:val="24"/>
        </w:rPr>
        <w:t xml:space="preserve">The State also has positive obligations under Article 8 </w:t>
      </w:r>
      <w:proofErr w:type="spellStart"/>
      <w:r w:rsidRPr="00C32CDB">
        <w:rPr>
          <w:rFonts w:ascii="Arial" w:hAnsi="Arial" w:cs="Arial"/>
          <w:sz w:val="24"/>
          <w:szCs w:val="24"/>
        </w:rPr>
        <w:t>ECHR</w:t>
      </w:r>
      <w:proofErr w:type="spellEnd"/>
      <w:r w:rsidRPr="00C32CDB">
        <w:rPr>
          <w:rFonts w:ascii="Arial" w:hAnsi="Arial" w:cs="Arial"/>
          <w:sz w:val="24"/>
          <w:szCs w:val="24"/>
        </w:rPr>
        <w:t xml:space="preserve"> to safeguard the individual’s physical integrity and this may extend to questions relating to the effectiveness of a criminal investigation.</w:t>
      </w:r>
      <w:r w:rsidRPr="00EE622E">
        <w:rPr>
          <w:rStyle w:val="FootnoteReference"/>
          <w:rFonts w:ascii="Arial" w:hAnsi="Arial" w:cs="Arial"/>
          <w:sz w:val="24"/>
          <w:szCs w:val="24"/>
        </w:rPr>
        <w:footnoteReference w:id="10"/>
      </w:r>
      <w:r w:rsidRPr="00C32CDB">
        <w:rPr>
          <w:rFonts w:ascii="Arial" w:hAnsi="Arial" w:cs="Arial"/>
          <w:sz w:val="24"/>
          <w:szCs w:val="24"/>
        </w:rPr>
        <w:t xml:space="preserve">  </w:t>
      </w:r>
    </w:p>
    <w:p w:rsidR="00D57E01" w:rsidRPr="00EE622E" w:rsidRDefault="00EE622E" w:rsidP="00F265AD">
      <w:pPr>
        <w:spacing w:line="240" w:lineRule="auto"/>
        <w:ind w:left="360"/>
        <w:rPr>
          <w:rFonts w:ascii="Arial" w:hAnsi="Arial" w:cs="Arial"/>
          <w:sz w:val="24"/>
          <w:szCs w:val="24"/>
        </w:rPr>
      </w:pPr>
      <w:r w:rsidRPr="00EE622E">
        <w:rPr>
          <w:rFonts w:ascii="Arial" w:hAnsi="Arial" w:cs="Arial"/>
          <w:b/>
          <w:sz w:val="24"/>
          <w:szCs w:val="24"/>
        </w:rPr>
        <w:t>Recommendation:</w:t>
      </w:r>
      <w:r w:rsidRPr="00EE622E">
        <w:rPr>
          <w:rFonts w:ascii="Arial" w:hAnsi="Arial" w:cs="Arial"/>
          <w:sz w:val="24"/>
          <w:szCs w:val="24"/>
        </w:rPr>
        <w:t xml:space="preserve"> The Commission stresses that the Regulations and Act must meet the essential requirements for an effective investigation and believes the Regulations and Act should explicitly refer to these requirements.  In particular, this includes guaranteeing the independence of</w:t>
      </w:r>
      <w:r w:rsidR="00581336">
        <w:rPr>
          <w:rFonts w:ascii="Arial" w:hAnsi="Arial" w:cs="Arial"/>
          <w:sz w:val="24"/>
          <w:szCs w:val="24"/>
        </w:rPr>
        <w:t xml:space="preserve"> the</w:t>
      </w:r>
      <w:r w:rsidRPr="00EE622E">
        <w:rPr>
          <w:rFonts w:ascii="Arial" w:hAnsi="Arial" w:cs="Arial"/>
          <w:sz w:val="24"/>
          <w:szCs w:val="24"/>
        </w:rPr>
        <w:t xml:space="preserve"> </w:t>
      </w:r>
      <w:proofErr w:type="spellStart"/>
      <w:r w:rsidRPr="00EE622E">
        <w:rPr>
          <w:rFonts w:ascii="Arial" w:hAnsi="Arial" w:cs="Arial"/>
          <w:sz w:val="24"/>
          <w:szCs w:val="24"/>
        </w:rPr>
        <w:t>PIRC</w:t>
      </w:r>
      <w:proofErr w:type="spellEnd"/>
      <w:r w:rsidRPr="00EE622E">
        <w:rPr>
          <w:rFonts w:ascii="Arial" w:hAnsi="Arial" w:cs="Arial"/>
          <w:sz w:val="24"/>
          <w:szCs w:val="24"/>
        </w:rPr>
        <w:t xml:space="preserve">, providing the </w:t>
      </w:r>
      <w:proofErr w:type="spellStart"/>
      <w:r w:rsidRPr="00EE622E">
        <w:rPr>
          <w:rFonts w:ascii="Arial" w:hAnsi="Arial" w:cs="Arial"/>
          <w:sz w:val="24"/>
          <w:szCs w:val="24"/>
        </w:rPr>
        <w:t>PIRC</w:t>
      </w:r>
      <w:proofErr w:type="spellEnd"/>
      <w:r w:rsidRPr="00EE622E">
        <w:rPr>
          <w:rFonts w:ascii="Arial" w:hAnsi="Arial" w:cs="Arial"/>
          <w:sz w:val="24"/>
          <w:szCs w:val="24"/>
        </w:rPr>
        <w:t xml:space="preserve"> with adequate investigatory powers of disclosure and attendance of witnesses, providing a level of public scrutiny of the </w:t>
      </w:r>
      <w:proofErr w:type="spellStart"/>
      <w:r w:rsidRPr="00EE622E">
        <w:rPr>
          <w:rFonts w:ascii="Arial" w:hAnsi="Arial" w:cs="Arial"/>
          <w:sz w:val="24"/>
          <w:szCs w:val="24"/>
        </w:rPr>
        <w:t>PIRC’s</w:t>
      </w:r>
      <w:proofErr w:type="spellEnd"/>
      <w:r w:rsidRPr="00EE622E">
        <w:rPr>
          <w:rFonts w:ascii="Arial" w:hAnsi="Arial" w:cs="Arial"/>
          <w:sz w:val="24"/>
          <w:szCs w:val="24"/>
        </w:rPr>
        <w:t xml:space="preserve"> investigation processes and ensuring the involvement of the victim or the victim’s family (where the victim is deceased).  Adequate training and guidance on the requirements of </w:t>
      </w:r>
      <w:proofErr w:type="spellStart"/>
      <w:r w:rsidRPr="00EE622E">
        <w:rPr>
          <w:rFonts w:ascii="Arial" w:hAnsi="Arial" w:cs="Arial"/>
          <w:sz w:val="24"/>
          <w:szCs w:val="24"/>
        </w:rPr>
        <w:t>ECHR</w:t>
      </w:r>
      <w:proofErr w:type="spellEnd"/>
      <w:r w:rsidRPr="00EE622E">
        <w:rPr>
          <w:rFonts w:ascii="Arial" w:hAnsi="Arial" w:cs="Arial"/>
          <w:sz w:val="24"/>
          <w:szCs w:val="24"/>
        </w:rPr>
        <w:t xml:space="preserve"> obligations should be provided.  </w:t>
      </w:r>
    </w:p>
    <w:p w:rsidR="00EE622E" w:rsidRPr="00EE622E" w:rsidRDefault="00EE622E" w:rsidP="00F265AD">
      <w:pPr>
        <w:spacing w:line="240" w:lineRule="auto"/>
        <w:rPr>
          <w:rFonts w:ascii="Arial" w:hAnsi="Arial" w:cs="Arial"/>
          <w:sz w:val="24"/>
          <w:szCs w:val="24"/>
        </w:rPr>
      </w:pPr>
      <w:r w:rsidRPr="00EE622E">
        <w:rPr>
          <w:rFonts w:ascii="Arial" w:hAnsi="Arial" w:cs="Arial"/>
          <w:i/>
          <w:sz w:val="24"/>
          <w:szCs w:val="24"/>
        </w:rPr>
        <w:t xml:space="preserve">Mandatory referral to the </w:t>
      </w:r>
      <w:r w:rsidR="003D05BF" w:rsidRPr="00EE622E">
        <w:rPr>
          <w:rFonts w:ascii="Arial" w:hAnsi="Arial" w:cs="Arial"/>
          <w:i/>
          <w:sz w:val="24"/>
          <w:szCs w:val="24"/>
        </w:rPr>
        <w:t>Commissioner</w:t>
      </w:r>
    </w:p>
    <w:p w:rsidR="00EE622E" w:rsidRPr="00C32CDB" w:rsidRDefault="00EE622E" w:rsidP="00F265AD">
      <w:pPr>
        <w:pStyle w:val="ListParagraph"/>
        <w:numPr>
          <w:ilvl w:val="0"/>
          <w:numId w:val="24"/>
        </w:numPr>
        <w:spacing w:line="240" w:lineRule="auto"/>
        <w:rPr>
          <w:rFonts w:ascii="Arial" w:hAnsi="Arial" w:cs="Arial"/>
          <w:sz w:val="24"/>
          <w:szCs w:val="24"/>
        </w:rPr>
      </w:pPr>
      <w:r w:rsidRPr="00C32CDB">
        <w:rPr>
          <w:rFonts w:ascii="Arial" w:hAnsi="Arial" w:cs="Arial"/>
          <w:sz w:val="24"/>
          <w:szCs w:val="24"/>
        </w:rPr>
        <w:t xml:space="preserve">Regulation 3 of the Regulations sets out the mandatory duty to refer serious incidents to the </w:t>
      </w:r>
      <w:proofErr w:type="spellStart"/>
      <w:r w:rsidRPr="00C32CDB">
        <w:rPr>
          <w:rFonts w:ascii="Arial" w:hAnsi="Arial" w:cs="Arial"/>
          <w:sz w:val="24"/>
          <w:szCs w:val="24"/>
        </w:rPr>
        <w:t>PIRC</w:t>
      </w:r>
      <w:proofErr w:type="spellEnd"/>
      <w:r w:rsidRPr="00C32CDB">
        <w:rPr>
          <w:rFonts w:ascii="Arial" w:hAnsi="Arial" w:cs="Arial"/>
          <w:sz w:val="24"/>
          <w:szCs w:val="24"/>
        </w:rPr>
        <w:t xml:space="preserve">.  Duties apply to both the chief constable and the SPA.  Regulation 3 fails to address the position where the chief constable decides not to refer an incident to the </w:t>
      </w:r>
      <w:proofErr w:type="spellStart"/>
      <w:r w:rsidRPr="00C32CDB">
        <w:rPr>
          <w:rFonts w:ascii="Arial" w:hAnsi="Arial" w:cs="Arial"/>
          <w:sz w:val="24"/>
          <w:szCs w:val="24"/>
        </w:rPr>
        <w:t>PIRC</w:t>
      </w:r>
      <w:proofErr w:type="spellEnd"/>
      <w:r w:rsidRPr="00C32CDB">
        <w:rPr>
          <w:rFonts w:ascii="Arial" w:hAnsi="Arial" w:cs="Arial"/>
          <w:sz w:val="24"/>
          <w:szCs w:val="24"/>
        </w:rPr>
        <w:t xml:space="preserve">, but which the SPA believes should be referred to the </w:t>
      </w:r>
      <w:proofErr w:type="spellStart"/>
      <w:r w:rsidRPr="00C32CDB">
        <w:rPr>
          <w:rFonts w:ascii="Arial" w:hAnsi="Arial" w:cs="Arial"/>
          <w:sz w:val="24"/>
          <w:szCs w:val="24"/>
        </w:rPr>
        <w:t>PIRC</w:t>
      </w:r>
      <w:proofErr w:type="spellEnd"/>
      <w:r w:rsidRPr="00C32CDB">
        <w:rPr>
          <w:rFonts w:ascii="Arial" w:hAnsi="Arial" w:cs="Arial"/>
          <w:sz w:val="24"/>
          <w:szCs w:val="24"/>
        </w:rPr>
        <w:t xml:space="preserve">.  </w:t>
      </w:r>
    </w:p>
    <w:p w:rsidR="00EE622E" w:rsidRPr="00EE622E" w:rsidRDefault="00EE622E" w:rsidP="00F265AD">
      <w:pPr>
        <w:spacing w:line="240" w:lineRule="auto"/>
        <w:ind w:left="360"/>
        <w:rPr>
          <w:rFonts w:ascii="Arial" w:hAnsi="Arial" w:cs="Arial"/>
          <w:sz w:val="24"/>
          <w:szCs w:val="24"/>
        </w:rPr>
      </w:pPr>
      <w:r w:rsidRPr="00EE622E">
        <w:rPr>
          <w:rFonts w:ascii="Arial" w:hAnsi="Arial" w:cs="Arial"/>
          <w:b/>
          <w:sz w:val="24"/>
          <w:szCs w:val="24"/>
        </w:rPr>
        <w:t>Recommendation</w:t>
      </w:r>
      <w:r w:rsidRPr="00EE622E">
        <w:rPr>
          <w:rFonts w:ascii="Arial" w:hAnsi="Arial" w:cs="Arial"/>
          <w:sz w:val="24"/>
          <w:szCs w:val="24"/>
        </w:rPr>
        <w:t>: Although the Regulations do not preclude the SPA from referring serious incidents where the chief constable does not, the Committee should consider whether explicit provision should be made to make clear this is a possibility.</w:t>
      </w:r>
    </w:p>
    <w:p w:rsidR="00EE622E" w:rsidRPr="00C32CDB" w:rsidRDefault="00EE622E" w:rsidP="00F265AD">
      <w:pPr>
        <w:pStyle w:val="ListParagraph"/>
        <w:numPr>
          <w:ilvl w:val="0"/>
          <w:numId w:val="24"/>
        </w:numPr>
        <w:spacing w:line="240" w:lineRule="auto"/>
        <w:rPr>
          <w:rFonts w:ascii="Arial" w:hAnsi="Arial" w:cs="Arial"/>
          <w:sz w:val="24"/>
          <w:szCs w:val="24"/>
        </w:rPr>
      </w:pPr>
      <w:r w:rsidRPr="00C32CDB">
        <w:rPr>
          <w:rFonts w:ascii="Arial" w:hAnsi="Arial" w:cs="Arial"/>
          <w:sz w:val="24"/>
          <w:szCs w:val="24"/>
        </w:rPr>
        <w:lastRenderedPageBreak/>
        <w:t>Regulation 3 (mandatory referral) does not apply to</w:t>
      </w:r>
      <w:r w:rsidR="00255305">
        <w:rPr>
          <w:rFonts w:ascii="Arial" w:hAnsi="Arial" w:cs="Arial"/>
          <w:sz w:val="24"/>
          <w:szCs w:val="24"/>
        </w:rPr>
        <w:t xml:space="preserve"> any circumstances mentioned in Regulation 6 or where a member of the police service has used a weapon specified in Regulation 7.  The circumstances set out in Regulation 6 are</w:t>
      </w:r>
      <w:r w:rsidRPr="00C32CDB">
        <w:rPr>
          <w:rFonts w:ascii="Arial" w:hAnsi="Arial" w:cs="Arial"/>
          <w:sz w:val="24"/>
          <w:szCs w:val="24"/>
        </w:rPr>
        <w:t>:</w:t>
      </w:r>
    </w:p>
    <w:p w:rsidR="00EE622E" w:rsidRPr="00EE622E" w:rsidRDefault="00FD346F" w:rsidP="00F265AD">
      <w:pPr>
        <w:spacing w:line="240" w:lineRule="auto"/>
        <w:rPr>
          <w:rFonts w:ascii="Arial" w:hAnsi="Arial" w:cs="Arial"/>
          <w:sz w:val="24"/>
          <w:szCs w:val="24"/>
        </w:rPr>
      </w:pPr>
      <w:r>
        <w:rPr>
          <w:rFonts w:ascii="Arial" w:hAnsi="Arial" w:cs="Arial"/>
          <w:sz w:val="24"/>
          <w:szCs w:val="24"/>
        </w:rPr>
        <w:tab/>
      </w:r>
      <w:r w:rsidR="00EE622E" w:rsidRPr="00EE622E">
        <w:rPr>
          <w:rFonts w:ascii="Arial" w:hAnsi="Arial" w:cs="Arial"/>
          <w:sz w:val="24"/>
          <w:szCs w:val="24"/>
        </w:rPr>
        <w:t xml:space="preserve">“Any circumstance in which a person serving with the police has, acting in the </w:t>
      </w:r>
      <w:r>
        <w:rPr>
          <w:rFonts w:ascii="Arial" w:hAnsi="Arial" w:cs="Arial"/>
          <w:sz w:val="24"/>
          <w:szCs w:val="24"/>
        </w:rPr>
        <w:tab/>
      </w:r>
      <w:r w:rsidR="00EE622E" w:rsidRPr="00EE622E">
        <w:rPr>
          <w:rFonts w:ascii="Arial" w:hAnsi="Arial" w:cs="Arial"/>
          <w:sz w:val="24"/>
          <w:szCs w:val="24"/>
        </w:rPr>
        <w:t xml:space="preserve">execution of that person’s duties, used any item to – </w:t>
      </w:r>
    </w:p>
    <w:p w:rsidR="00EE622E" w:rsidRPr="00EE622E" w:rsidRDefault="00FD346F" w:rsidP="00F265AD">
      <w:pPr>
        <w:spacing w:line="240" w:lineRule="auto"/>
        <w:rPr>
          <w:rFonts w:ascii="Arial" w:hAnsi="Arial" w:cs="Arial"/>
          <w:sz w:val="24"/>
          <w:szCs w:val="24"/>
        </w:rPr>
      </w:pPr>
      <w:r>
        <w:rPr>
          <w:rFonts w:ascii="Arial" w:hAnsi="Arial" w:cs="Arial"/>
          <w:sz w:val="24"/>
          <w:szCs w:val="24"/>
        </w:rPr>
        <w:tab/>
      </w:r>
      <w:r w:rsidR="00EE622E" w:rsidRPr="00EE622E">
        <w:rPr>
          <w:rFonts w:ascii="Arial" w:hAnsi="Arial" w:cs="Arial"/>
          <w:sz w:val="24"/>
          <w:szCs w:val="24"/>
        </w:rPr>
        <w:t>(a) attempt to cause a member of the public serious injury; or</w:t>
      </w:r>
    </w:p>
    <w:p w:rsidR="00EE622E" w:rsidRPr="00EE622E" w:rsidRDefault="00FD346F" w:rsidP="00F265AD">
      <w:pPr>
        <w:spacing w:line="240" w:lineRule="auto"/>
        <w:rPr>
          <w:rFonts w:ascii="Arial" w:hAnsi="Arial" w:cs="Arial"/>
          <w:sz w:val="24"/>
          <w:szCs w:val="24"/>
        </w:rPr>
      </w:pPr>
      <w:r>
        <w:rPr>
          <w:rFonts w:ascii="Arial" w:hAnsi="Arial" w:cs="Arial"/>
          <w:sz w:val="24"/>
          <w:szCs w:val="24"/>
        </w:rPr>
        <w:tab/>
      </w:r>
      <w:r w:rsidR="00EE622E" w:rsidRPr="00EE622E">
        <w:rPr>
          <w:rFonts w:ascii="Arial" w:hAnsi="Arial" w:cs="Arial"/>
          <w:sz w:val="24"/>
          <w:szCs w:val="24"/>
        </w:rPr>
        <w:t xml:space="preserve">(b) cause or attempt to cause a member of the public an injury which is not </w:t>
      </w:r>
      <w:r>
        <w:rPr>
          <w:rFonts w:ascii="Arial" w:hAnsi="Arial" w:cs="Arial"/>
          <w:sz w:val="24"/>
          <w:szCs w:val="24"/>
        </w:rPr>
        <w:tab/>
      </w:r>
      <w:r w:rsidR="00EE622E" w:rsidRPr="00EE622E">
        <w:rPr>
          <w:rFonts w:ascii="Arial" w:hAnsi="Arial" w:cs="Arial"/>
          <w:sz w:val="24"/>
          <w:szCs w:val="24"/>
        </w:rPr>
        <w:t>serious,…”</w:t>
      </w:r>
      <w:r w:rsidR="00EE622E" w:rsidRPr="00EE622E">
        <w:rPr>
          <w:rStyle w:val="FootnoteReference"/>
          <w:rFonts w:ascii="Arial" w:hAnsi="Arial" w:cs="Arial"/>
          <w:sz w:val="24"/>
          <w:szCs w:val="24"/>
        </w:rPr>
        <w:footnoteReference w:id="11"/>
      </w:r>
    </w:p>
    <w:p w:rsidR="00EE622E" w:rsidRDefault="00EE622E" w:rsidP="00F265AD">
      <w:pPr>
        <w:pStyle w:val="ListParagraph"/>
        <w:numPr>
          <w:ilvl w:val="0"/>
          <w:numId w:val="24"/>
        </w:numPr>
        <w:spacing w:line="240" w:lineRule="auto"/>
        <w:rPr>
          <w:rFonts w:ascii="Arial" w:hAnsi="Arial" w:cs="Arial"/>
          <w:sz w:val="24"/>
          <w:szCs w:val="24"/>
        </w:rPr>
      </w:pPr>
      <w:r w:rsidRPr="00255305">
        <w:rPr>
          <w:rFonts w:ascii="Arial" w:hAnsi="Arial" w:cs="Arial"/>
          <w:sz w:val="24"/>
          <w:szCs w:val="24"/>
        </w:rPr>
        <w:t>The policy note accompanying the Regulations explains that, although referral</w:t>
      </w:r>
      <w:r w:rsidR="00255305">
        <w:rPr>
          <w:rFonts w:ascii="Arial" w:hAnsi="Arial" w:cs="Arial"/>
          <w:sz w:val="24"/>
          <w:szCs w:val="24"/>
        </w:rPr>
        <w:t xml:space="preserve"> to the </w:t>
      </w:r>
      <w:proofErr w:type="spellStart"/>
      <w:r w:rsidR="00255305">
        <w:rPr>
          <w:rFonts w:ascii="Arial" w:hAnsi="Arial" w:cs="Arial"/>
          <w:sz w:val="24"/>
          <w:szCs w:val="24"/>
        </w:rPr>
        <w:t>PIRC</w:t>
      </w:r>
      <w:proofErr w:type="spellEnd"/>
      <w:r w:rsidRPr="00255305">
        <w:rPr>
          <w:rFonts w:ascii="Arial" w:hAnsi="Arial" w:cs="Arial"/>
          <w:sz w:val="24"/>
          <w:szCs w:val="24"/>
        </w:rPr>
        <w:t xml:space="preserve"> would not be mandatory, circumstances covered by Regulation 6</w:t>
      </w:r>
      <w:r w:rsidR="00581336">
        <w:rPr>
          <w:rFonts w:ascii="Arial" w:hAnsi="Arial" w:cs="Arial"/>
          <w:sz w:val="24"/>
          <w:szCs w:val="24"/>
        </w:rPr>
        <w:t xml:space="preserve"> </w:t>
      </w:r>
      <w:r w:rsidRPr="00255305">
        <w:rPr>
          <w:rFonts w:ascii="Arial" w:hAnsi="Arial" w:cs="Arial"/>
          <w:sz w:val="24"/>
          <w:szCs w:val="24"/>
        </w:rPr>
        <w:t xml:space="preserve">may be referred to the </w:t>
      </w:r>
      <w:proofErr w:type="spellStart"/>
      <w:r w:rsidRPr="00255305">
        <w:rPr>
          <w:rFonts w:ascii="Arial" w:hAnsi="Arial" w:cs="Arial"/>
          <w:sz w:val="24"/>
          <w:szCs w:val="24"/>
        </w:rPr>
        <w:t>PIRC</w:t>
      </w:r>
      <w:proofErr w:type="spellEnd"/>
      <w:r w:rsidRPr="00255305">
        <w:rPr>
          <w:rFonts w:ascii="Arial" w:hAnsi="Arial" w:cs="Arial"/>
          <w:sz w:val="24"/>
          <w:szCs w:val="24"/>
        </w:rPr>
        <w:t xml:space="preserve"> if the SPA or chief constable considers that an independent investigation would be appropriate.  Paragraph 11 of the policy note explains that Regulation 6 is intended to ‘cover circumstances in which, for example, a police officer has used an item to prevent a member of the public being harmed, or to defend themselves.  This might happen if an officer were deprived of their safety equipment had to use whatever was to hand.’  Paragraph 12 goes on to state that it is anticipated the number of these types of incidents will be very low.  </w:t>
      </w:r>
    </w:p>
    <w:p w:rsidR="00255305" w:rsidRPr="00255305" w:rsidRDefault="00255305" w:rsidP="00F265AD">
      <w:pPr>
        <w:pStyle w:val="ListParagraph"/>
        <w:spacing w:line="240" w:lineRule="auto"/>
        <w:ind w:left="360"/>
        <w:rPr>
          <w:rFonts w:ascii="Arial" w:hAnsi="Arial" w:cs="Arial"/>
          <w:sz w:val="24"/>
          <w:szCs w:val="24"/>
        </w:rPr>
      </w:pPr>
    </w:p>
    <w:p w:rsidR="00EE622E" w:rsidRDefault="00EE622E" w:rsidP="002D4433">
      <w:pPr>
        <w:pStyle w:val="ListParagraph"/>
        <w:numPr>
          <w:ilvl w:val="0"/>
          <w:numId w:val="24"/>
        </w:numPr>
        <w:spacing w:line="240" w:lineRule="auto"/>
        <w:rPr>
          <w:rFonts w:ascii="Arial" w:hAnsi="Arial" w:cs="Arial"/>
          <w:sz w:val="24"/>
          <w:szCs w:val="24"/>
        </w:rPr>
      </w:pPr>
      <w:r w:rsidRPr="00255305">
        <w:rPr>
          <w:rFonts w:ascii="Arial" w:hAnsi="Arial" w:cs="Arial"/>
          <w:sz w:val="24"/>
          <w:szCs w:val="24"/>
        </w:rPr>
        <w:t xml:space="preserve">Although an element of discretion is justified given the category of incidents is intended to be lower level in terms of harm caused, it is important to note that situations referred to in Regulation 6 have the potential to engage Articles 3 and 8 </w:t>
      </w:r>
      <w:proofErr w:type="spellStart"/>
      <w:r w:rsidRPr="00255305">
        <w:rPr>
          <w:rFonts w:ascii="Arial" w:hAnsi="Arial" w:cs="Arial"/>
          <w:sz w:val="24"/>
          <w:szCs w:val="24"/>
        </w:rPr>
        <w:t>ECHR</w:t>
      </w:r>
      <w:proofErr w:type="spellEnd"/>
      <w:r w:rsidRPr="00255305">
        <w:rPr>
          <w:rFonts w:ascii="Arial" w:hAnsi="Arial" w:cs="Arial"/>
          <w:sz w:val="24"/>
          <w:szCs w:val="24"/>
        </w:rPr>
        <w:t xml:space="preserve">.  In these circumstances, legal </w:t>
      </w:r>
      <w:r w:rsidRPr="00255305">
        <w:rPr>
          <w:rFonts w:ascii="Arial" w:hAnsi="Arial" w:cs="Arial"/>
          <w:i/>
          <w:sz w:val="24"/>
          <w:szCs w:val="24"/>
        </w:rPr>
        <w:t xml:space="preserve">obligations </w:t>
      </w:r>
      <w:r w:rsidRPr="00255305">
        <w:rPr>
          <w:rFonts w:ascii="Arial" w:hAnsi="Arial" w:cs="Arial"/>
          <w:sz w:val="24"/>
          <w:szCs w:val="24"/>
        </w:rPr>
        <w:t xml:space="preserve">to investigate may arise. </w:t>
      </w:r>
    </w:p>
    <w:p w:rsidR="00255305" w:rsidRPr="00255305" w:rsidRDefault="00255305" w:rsidP="00F265AD">
      <w:pPr>
        <w:pStyle w:val="ListParagraph"/>
        <w:spacing w:line="240" w:lineRule="auto"/>
        <w:ind w:left="360"/>
        <w:rPr>
          <w:rFonts w:ascii="Arial" w:hAnsi="Arial" w:cs="Arial"/>
          <w:sz w:val="24"/>
          <w:szCs w:val="24"/>
        </w:rPr>
      </w:pPr>
    </w:p>
    <w:p w:rsidR="00EE622E" w:rsidRPr="00255305" w:rsidRDefault="00EE622E" w:rsidP="00F265AD">
      <w:pPr>
        <w:pStyle w:val="ListParagraph"/>
        <w:numPr>
          <w:ilvl w:val="0"/>
          <w:numId w:val="24"/>
        </w:numPr>
        <w:spacing w:line="240" w:lineRule="auto"/>
        <w:rPr>
          <w:rFonts w:ascii="Arial" w:hAnsi="Arial" w:cs="Arial"/>
          <w:sz w:val="24"/>
          <w:szCs w:val="24"/>
        </w:rPr>
      </w:pPr>
      <w:r w:rsidRPr="00255305">
        <w:rPr>
          <w:rFonts w:ascii="Arial" w:hAnsi="Arial" w:cs="Arial"/>
          <w:sz w:val="24"/>
          <w:szCs w:val="24"/>
        </w:rPr>
        <w:t>Similarly, Regulation 3 does not apply to:</w:t>
      </w:r>
    </w:p>
    <w:p w:rsidR="00EE622E" w:rsidRPr="00EE622E" w:rsidRDefault="00FD346F" w:rsidP="00F265AD">
      <w:pPr>
        <w:spacing w:line="240" w:lineRule="auto"/>
        <w:rPr>
          <w:rFonts w:ascii="Arial" w:hAnsi="Arial" w:cs="Arial"/>
          <w:sz w:val="24"/>
          <w:szCs w:val="24"/>
        </w:rPr>
      </w:pPr>
      <w:r>
        <w:rPr>
          <w:rFonts w:ascii="Arial" w:hAnsi="Arial" w:cs="Arial"/>
          <w:sz w:val="24"/>
          <w:szCs w:val="24"/>
        </w:rPr>
        <w:tab/>
      </w:r>
      <w:r w:rsidR="00EE622E" w:rsidRPr="00EE622E">
        <w:rPr>
          <w:rFonts w:ascii="Arial" w:hAnsi="Arial" w:cs="Arial"/>
          <w:sz w:val="24"/>
          <w:szCs w:val="24"/>
        </w:rPr>
        <w:t xml:space="preserve">“…(b) a circumstance in or in consequence of which a person serving with the </w:t>
      </w:r>
      <w:r>
        <w:rPr>
          <w:rFonts w:ascii="Arial" w:hAnsi="Arial" w:cs="Arial"/>
          <w:sz w:val="24"/>
          <w:szCs w:val="24"/>
        </w:rPr>
        <w:tab/>
      </w:r>
      <w:r w:rsidR="00EE622E" w:rsidRPr="00EE622E">
        <w:rPr>
          <w:rFonts w:ascii="Arial" w:hAnsi="Arial" w:cs="Arial"/>
          <w:sz w:val="24"/>
          <w:szCs w:val="24"/>
        </w:rPr>
        <w:t>police has used a weapon specified in regulation 7.”</w:t>
      </w:r>
    </w:p>
    <w:p w:rsidR="00EE622E" w:rsidRPr="00EE622E" w:rsidRDefault="00EE622E" w:rsidP="002D4433">
      <w:pPr>
        <w:spacing w:line="240" w:lineRule="auto"/>
        <w:ind w:left="360"/>
        <w:rPr>
          <w:rFonts w:ascii="Arial" w:hAnsi="Arial" w:cs="Arial"/>
          <w:sz w:val="24"/>
          <w:szCs w:val="24"/>
        </w:rPr>
      </w:pPr>
      <w:r w:rsidRPr="00EE622E">
        <w:rPr>
          <w:rFonts w:ascii="Arial" w:hAnsi="Arial" w:cs="Arial"/>
          <w:sz w:val="24"/>
          <w:szCs w:val="24"/>
        </w:rPr>
        <w:t xml:space="preserve">Regulation 7 provides that police batons are specified weapons.  </w:t>
      </w:r>
    </w:p>
    <w:p w:rsidR="00EE622E" w:rsidRPr="00255305" w:rsidRDefault="00EE622E" w:rsidP="00F265AD">
      <w:pPr>
        <w:pStyle w:val="ListParagraph"/>
        <w:numPr>
          <w:ilvl w:val="0"/>
          <w:numId w:val="24"/>
        </w:numPr>
        <w:spacing w:line="240" w:lineRule="auto"/>
        <w:rPr>
          <w:rFonts w:ascii="Arial" w:hAnsi="Arial" w:cs="Arial"/>
          <w:sz w:val="24"/>
          <w:szCs w:val="24"/>
        </w:rPr>
      </w:pPr>
      <w:r w:rsidRPr="00255305">
        <w:rPr>
          <w:rFonts w:ascii="Arial" w:hAnsi="Arial" w:cs="Arial"/>
          <w:sz w:val="24"/>
          <w:szCs w:val="24"/>
        </w:rPr>
        <w:t xml:space="preserve">The Regulations therefore afford the chief constable or SPA with discretion as to whether or not to refer circumstances of baton use to the </w:t>
      </w:r>
      <w:proofErr w:type="spellStart"/>
      <w:r w:rsidRPr="00255305">
        <w:rPr>
          <w:rFonts w:ascii="Arial" w:hAnsi="Arial" w:cs="Arial"/>
          <w:sz w:val="24"/>
          <w:szCs w:val="24"/>
        </w:rPr>
        <w:t>PIRC</w:t>
      </w:r>
      <w:proofErr w:type="spellEnd"/>
      <w:r w:rsidRPr="00255305">
        <w:rPr>
          <w:rFonts w:ascii="Arial" w:hAnsi="Arial" w:cs="Arial"/>
          <w:sz w:val="24"/>
          <w:szCs w:val="24"/>
        </w:rPr>
        <w:t xml:space="preserve"> for independent investigation.  The Commission reiterates that baton use has the potential to engage Articles 3 and 8 </w:t>
      </w:r>
      <w:proofErr w:type="spellStart"/>
      <w:r w:rsidRPr="00255305">
        <w:rPr>
          <w:rFonts w:ascii="Arial" w:hAnsi="Arial" w:cs="Arial"/>
          <w:sz w:val="24"/>
          <w:szCs w:val="24"/>
        </w:rPr>
        <w:t>ECHR</w:t>
      </w:r>
      <w:proofErr w:type="spellEnd"/>
      <w:r w:rsidRPr="00255305">
        <w:rPr>
          <w:rFonts w:ascii="Arial" w:hAnsi="Arial" w:cs="Arial"/>
          <w:sz w:val="24"/>
          <w:szCs w:val="24"/>
        </w:rPr>
        <w:t xml:space="preserve">, leading to obligations to investigate.  </w:t>
      </w:r>
    </w:p>
    <w:p w:rsidR="00EE622E" w:rsidRDefault="00EE622E" w:rsidP="00F265AD">
      <w:pPr>
        <w:spacing w:line="240" w:lineRule="auto"/>
        <w:ind w:left="360"/>
        <w:rPr>
          <w:rFonts w:ascii="Arial" w:hAnsi="Arial" w:cs="Arial"/>
          <w:sz w:val="24"/>
          <w:szCs w:val="24"/>
        </w:rPr>
      </w:pPr>
      <w:r w:rsidRPr="00EE622E">
        <w:rPr>
          <w:rFonts w:ascii="Arial" w:hAnsi="Arial" w:cs="Arial"/>
          <w:b/>
          <w:sz w:val="24"/>
          <w:szCs w:val="24"/>
        </w:rPr>
        <w:t>Recommendation</w:t>
      </w:r>
      <w:r w:rsidRPr="00EE622E">
        <w:rPr>
          <w:rFonts w:ascii="Arial" w:hAnsi="Arial" w:cs="Arial"/>
          <w:sz w:val="24"/>
          <w:szCs w:val="24"/>
        </w:rPr>
        <w:t xml:space="preserve">:  The Regulations should explicitly refer to </w:t>
      </w:r>
      <w:proofErr w:type="spellStart"/>
      <w:r w:rsidRPr="00EE622E">
        <w:rPr>
          <w:rFonts w:ascii="Arial" w:hAnsi="Arial" w:cs="Arial"/>
          <w:sz w:val="24"/>
          <w:szCs w:val="24"/>
        </w:rPr>
        <w:t>ECHR</w:t>
      </w:r>
      <w:proofErr w:type="spellEnd"/>
      <w:r w:rsidRPr="00EE622E">
        <w:rPr>
          <w:rFonts w:ascii="Arial" w:hAnsi="Arial" w:cs="Arial"/>
          <w:sz w:val="24"/>
          <w:szCs w:val="24"/>
        </w:rPr>
        <w:t xml:space="preserve"> obligations and require discretion on whether to refer incidents covered by Regulation 6, or involving a </w:t>
      </w:r>
      <w:r w:rsidR="00255305">
        <w:rPr>
          <w:rFonts w:ascii="Arial" w:hAnsi="Arial" w:cs="Arial"/>
          <w:sz w:val="24"/>
          <w:szCs w:val="24"/>
        </w:rPr>
        <w:t>specified weapon</w:t>
      </w:r>
      <w:r w:rsidRPr="00EE622E">
        <w:rPr>
          <w:rFonts w:ascii="Arial" w:hAnsi="Arial" w:cs="Arial"/>
          <w:sz w:val="24"/>
          <w:szCs w:val="24"/>
        </w:rPr>
        <w:t xml:space="preserve">, to be exercised in line with </w:t>
      </w:r>
      <w:proofErr w:type="spellStart"/>
      <w:r w:rsidRPr="00EE622E">
        <w:rPr>
          <w:rFonts w:ascii="Arial" w:hAnsi="Arial" w:cs="Arial"/>
          <w:sz w:val="24"/>
          <w:szCs w:val="24"/>
        </w:rPr>
        <w:t>ECHR</w:t>
      </w:r>
      <w:proofErr w:type="spellEnd"/>
      <w:r w:rsidRPr="00EE622E">
        <w:rPr>
          <w:rFonts w:ascii="Arial" w:hAnsi="Arial" w:cs="Arial"/>
          <w:sz w:val="24"/>
          <w:szCs w:val="24"/>
        </w:rPr>
        <w:t xml:space="preserve"> obligations.  Sufficient training should be provided to ensure those with decision making power understand those obligations.    </w:t>
      </w:r>
    </w:p>
    <w:p w:rsidR="0061055F" w:rsidRDefault="0061055F" w:rsidP="00F265AD">
      <w:pPr>
        <w:spacing w:line="240" w:lineRule="auto"/>
        <w:ind w:left="360"/>
        <w:rPr>
          <w:rFonts w:ascii="Arial" w:hAnsi="Arial" w:cs="Arial"/>
          <w:sz w:val="24"/>
          <w:szCs w:val="24"/>
        </w:rPr>
      </w:pPr>
    </w:p>
    <w:p w:rsidR="0061055F" w:rsidRPr="00EE622E" w:rsidRDefault="0061055F" w:rsidP="00F265AD">
      <w:pPr>
        <w:spacing w:line="240" w:lineRule="auto"/>
        <w:ind w:left="360"/>
        <w:rPr>
          <w:rFonts w:ascii="Arial" w:hAnsi="Arial" w:cs="Arial"/>
          <w:sz w:val="24"/>
          <w:szCs w:val="24"/>
        </w:rPr>
      </w:pPr>
    </w:p>
    <w:p w:rsidR="00EE622E" w:rsidRPr="00EE622E" w:rsidRDefault="00EE622E" w:rsidP="00F265AD">
      <w:pPr>
        <w:spacing w:line="240" w:lineRule="auto"/>
        <w:rPr>
          <w:rFonts w:ascii="Arial" w:hAnsi="Arial" w:cs="Arial"/>
          <w:i/>
          <w:sz w:val="24"/>
          <w:szCs w:val="24"/>
        </w:rPr>
      </w:pPr>
      <w:r w:rsidRPr="00EE622E">
        <w:rPr>
          <w:rFonts w:ascii="Arial" w:hAnsi="Arial" w:cs="Arial"/>
          <w:i/>
          <w:sz w:val="24"/>
          <w:szCs w:val="24"/>
        </w:rPr>
        <w:t>Investigation of serious incidents</w:t>
      </w:r>
    </w:p>
    <w:p w:rsidR="00EE622E" w:rsidRPr="00255305" w:rsidRDefault="00EE622E" w:rsidP="00F265AD">
      <w:pPr>
        <w:pStyle w:val="ListParagraph"/>
        <w:numPr>
          <w:ilvl w:val="0"/>
          <w:numId w:val="24"/>
        </w:numPr>
        <w:spacing w:line="240" w:lineRule="auto"/>
        <w:rPr>
          <w:rFonts w:ascii="Arial" w:hAnsi="Arial" w:cs="Arial"/>
          <w:sz w:val="24"/>
          <w:szCs w:val="24"/>
        </w:rPr>
      </w:pPr>
      <w:r w:rsidRPr="00255305">
        <w:rPr>
          <w:rFonts w:ascii="Arial" w:hAnsi="Arial" w:cs="Arial"/>
          <w:sz w:val="24"/>
          <w:szCs w:val="24"/>
        </w:rPr>
        <w:t xml:space="preserve">Regulation 4 of the Regulations provides that the </w:t>
      </w:r>
      <w:proofErr w:type="spellStart"/>
      <w:r w:rsidRPr="00255305">
        <w:rPr>
          <w:rFonts w:ascii="Arial" w:hAnsi="Arial" w:cs="Arial"/>
          <w:sz w:val="24"/>
          <w:szCs w:val="24"/>
        </w:rPr>
        <w:t>PIRC</w:t>
      </w:r>
      <w:proofErr w:type="spellEnd"/>
      <w:r w:rsidRPr="00255305">
        <w:rPr>
          <w:rFonts w:ascii="Arial" w:hAnsi="Arial" w:cs="Arial"/>
          <w:sz w:val="24"/>
          <w:szCs w:val="24"/>
        </w:rPr>
        <w:t xml:space="preserve"> must investigate serious incidents where a person has died and the person, at or before the time of death, had contact with the police and there is an indication that the contact may have caused or contributed to the death.  However, the Act is broader in its terms in relation to this type of serious incident.  Section 64 of the Act defines such serious incidents as a circumstance in which, or in consequence of which, a person has died </w:t>
      </w:r>
      <w:r w:rsidRPr="00255305">
        <w:rPr>
          <w:rFonts w:ascii="Arial" w:hAnsi="Arial" w:cs="Arial"/>
          <w:i/>
          <w:sz w:val="24"/>
          <w:szCs w:val="24"/>
        </w:rPr>
        <w:t xml:space="preserve">or sustained serious injury </w:t>
      </w:r>
      <w:r w:rsidRPr="00255305">
        <w:rPr>
          <w:rFonts w:ascii="Arial" w:hAnsi="Arial" w:cs="Arial"/>
          <w:sz w:val="24"/>
          <w:szCs w:val="24"/>
        </w:rPr>
        <w:t xml:space="preserve">and there is an indication that contact may have caused (directly or indirectly) or contributed to the death </w:t>
      </w:r>
      <w:r w:rsidRPr="00255305">
        <w:rPr>
          <w:rFonts w:ascii="Arial" w:hAnsi="Arial" w:cs="Arial"/>
          <w:i/>
          <w:sz w:val="24"/>
          <w:szCs w:val="24"/>
        </w:rPr>
        <w:t>or serious injury</w:t>
      </w:r>
      <w:r w:rsidRPr="00255305">
        <w:rPr>
          <w:rFonts w:ascii="Arial" w:hAnsi="Arial" w:cs="Arial"/>
          <w:sz w:val="24"/>
          <w:szCs w:val="24"/>
        </w:rPr>
        <w:t xml:space="preserve">.  </w:t>
      </w:r>
    </w:p>
    <w:p w:rsidR="00EE622E" w:rsidRPr="00EE622E" w:rsidRDefault="00EE622E" w:rsidP="00F265AD">
      <w:pPr>
        <w:spacing w:line="240" w:lineRule="auto"/>
        <w:ind w:left="360"/>
        <w:rPr>
          <w:rFonts w:ascii="Arial" w:hAnsi="Arial" w:cs="Arial"/>
          <w:sz w:val="24"/>
          <w:szCs w:val="24"/>
        </w:rPr>
      </w:pPr>
      <w:r w:rsidRPr="00EE622E">
        <w:rPr>
          <w:rFonts w:ascii="Arial" w:hAnsi="Arial" w:cs="Arial"/>
          <w:b/>
          <w:sz w:val="24"/>
          <w:szCs w:val="24"/>
        </w:rPr>
        <w:t>Recommendation</w:t>
      </w:r>
      <w:r w:rsidRPr="00EE622E">
        <w:rPr>
          <w:rFonts w:ascii="Arial" w:hAnsi="Arial" w:cs="Arial"/>
          <w:sz w:val="24"/>
          <w:szCs w:val="24"/>
        </w:rPr>
        <w:t xml:space="preserve">: Consideration should be given to including the wording of the 2012 Act to broaden the scope of Regulation 4.  The </w:t>
      </w:r>
      <w:proofErr w:type="spellStart"/>
      <w:r w:rsidRPr="00EE622E">
        <w:rPr>
          <w:rFonts w:ascii="Arial" w:hAnsi="Arial" w:cs="Arial"/>
          <w:sz w:val="24"/>
          <w:szCs w:val="24"/>
        </w:rPr>
        <w:t>PIRC</w:t>
      </w:r>
      <w:proofErr w:type="spellEnd"/>
      <w:r w:rsidRPr="00EE622E">
        <w:rPr>
          <w:rFonts w:ascii="Arial" w:hAnsi="Arial" w:cs="Arial"/>
          <w:sz w:val="24"/>
          <w:szCs w:val="24"/>
        </w:rPr>
        <w:t xml:space="preserve"> should be required to investigate serious incidents where a person who has had direct or indirect contact with a person serving with the police has died or sustained serious injury where there is an indication that such conduct may have caused (directly or indirectly) or contributed to the death or serious injury.  </w:t>
      </w:r>
    </w:p>
    <w:p w:rsidR="00EE622E" w:rsidRPr="00EE622E" w:rsidRDefault="00EE622E" w:rsidP="00581336">
      <w:pPr>
        <w:spacing w:line="240" w:lineRule="auto"/>
        <w:ind w:left="360"/>
        <w:rPr>
          <w:rFonts w:ascii="Arial" w:hAnsi="Arial" w:cs="Arial"/>
          <w:sz w:val="24"/>
          <w:szCs w:val="24"/>
        </w:rPr>
      </w:pPr>
      <w:r w:rsidRPr="00EE622E">
        <w:rPr>
          <w:rFonts w:ascii="Arial" w:hAnsi="Arial" w:cs="Arial"/>
          <w:b/>
          <w:sz w:val="24"/>
          <w:szCs w:val="24"/>
        </w:rPr>
        <w:t>Recommendation</w:t>
      </w:r>
      <w:r w:rsidRPr="00EE622E">
        <w:rPr>
          <w:rFonts w:ascii="Arial" w:hAnsi="Arial" w:cs="Arial"/>
          <w:sz w:val="24"/>
          <w:szCs w:val="24"/>
        </w:rPr>
        <w:t>: Consideration should be given to including in the Regulations the explicit requirement that the victim or the victim’s family (where the victim is deceased) be involved in the investigation process in order to safeguard his/her legitimate interests.</w:t>
      </w:r>
    </w:p>
    <w:p w:rsidR="00EE622E" w:rsidRPr="00255305" w:rsidRDefault="00EE622E" w:rsidP="00F265AD">
      <w:pPr>
        <w:pStyle w:val="ListParagraph"/>
        <w:numPr>
          <w:ilvl w:val="0"/>
          <w:numId w:val="24"/>
        </w:numPr>
        <w:spacing w:line="240" w:lineRule="auto"/>
        <w:rPr>
          <w:rFonts w:ascii="Arial" w:hAnsi="Arial" w:cs="Arial"/>
          <w:sz w:val="24"/>
          <w:szCs w:val="24"/>
        </w:rPr>
      </w:pPr>
      <w:r w:rsidRPr="00255305">
        <w:rPr>
          <w:rFonts w:ascii="Arial" w:hAnsi="Arial" w:cs="Arial"/>
          <w:sz w:val="24"/>
          <w:szCs w:val="24"/>
        </w:rPr>
        <w:t xml:space="preserve">The Regulations and the Act give the </w:t>
      </w:r>
      <w:proofErr w:type="spellStart"/>
      <w:r w:rsidRPr="00255305">
        <w:rPr>
          <w:rFonts w:ascii="Arial" w:hAnsi="Arial" w:cs="Arial"/>
          <w:sz w:val="24"/>
          <w:szCs w:val="24"/>
        </w:rPr>
        <w:t>PIRC</w:t>
      </w:r>
      <w:proofErr w:type="spellEnd"/>
      <w:r w:rsidRPr="00255305">
        <w:rPr>
          <w:rFonts w:ascii="Arial" w:hAnsi="Arial" w:cs="Arial"/>
          <w:sz w:val="24"/>
          <w:szCs w:val="24"/>
        </w:rPr>
        <w:t xml:space="preserve"> discretion to decide whether to investigate other serious incidents or matters in the public interest.</w:t>
      </w:r>
      <w:r w:rsidRPr="00EE622E">
        <w:rPr>
          <w:rStyle w:val="FootnoteReference"/>
          <w:rFonts w:ascii="Arial" w:hAnsi="Arial" w:cs="Arial"/>
          <w:sz w:val="24"/>
          <w:szCs w:val="24"/>
        </w:rPr>
        <w:footnoteReference w:id="12"/>
      </w:r>
      <w:r w:rsidRPr="00255305">
        <w:rPr>
          <w:rFonts w:ascii="Arial" w:hAnsi="Arial" w:cs="Arial"/>
          <w:sz w:val="24"/>
          <w:szCs w:val="24"/>
        </w:rPr>
        <w:t xml:space="preserve">  It is important that the </w:t>
      </w:r>
      <w:proofErr w:type="spellStart"/>
      <w:r w:rsidRPr="00255305">
        <w:rPr>
          <w:rFonts w:ascii="Arial" w:hAnsi="Arial" w:cs="Arial"/>
          <w:sz w:val="24"/>
          <w:szCs w:val="24"/>
        </w:rPr>
        <w:t>PIRC</w:t>
      </w:r>
      <w:proofErr w:type="spellEnd"/>
      <w:r w:rsidRPr="00255305">
        <w:rPr>
          <w:rFonts w:ascii="Arial" w:hAnsi="Arial" w:cs="Arial"/>
          <w:sz w:val="24"/>
          <w:szCs w:val="24"/>
        </w:rPr>
        <w:t xml:space="preserve"> is given discretion and independence to decide which incidents and matters to investigate.  That said, it is equally important that the </w:t>
      </w:r>
      <w:proofErr w:type="spellStart"/>
      <w:r w:rsidRPr="00255305">
        <w:rPr>
          <w:rFonts w:ascii="Arial" w:hAnsi="Arial" w:cs="Arial"/>
          <w:sz w:val="24"/>
          <w:szCs w:val="24"/>
        </w:rPr>
        <w:t>PIRC’s</w:t>
      </w:r>
      <w:proofErr w:type="spellEnd"/>
      <w:r w:rsidRPr="00255305">
        <w:rPr>
          <w:rFonts w:ascii="Arial" w:hAnsi="Arial" w:cs="Arial"/>
          <w:sz w:val="24"/>
          <w:szCs w:val="24"/>
        </w:rPr>
        <w:t xml:space="preserve"> decision-making process is open, transparent, objective and independent to ensure accountability and public confidence.</w:t>
      </w:r>
    </w:p>
    <w:p w:rsidR="00EE622E" w:rsidRPr="00EE622E" w:rsidRDefault="00EE622E" w:rsidP="00F265AD">
      <w:pPr>
        <w:spacing w:line="240" w:lineRule="auto"/>
        <w:ind w:left="360"/>
        <w:rPr>
          <w:rFonts w:ascii="Arial" w:hAnsi="Arial" w:cs="Arial"/>
          <w:sz w:val="24"/>
          <w:szCs w:val="24"/>
        </w:rPr>
      </w:pPr>
      <w:r w:rsidRPr="00EE622E">
        <w:rPr>
          <w:rFonts w:ascii="Arial" w:hAnsi="Arial" w:cs="Arial"/>
          <w:b/>
          <w:sz w:val="24"/>
          <w:szCs w:val="24"/>
        </w:rPr>
        <w:t>Recommendation</w:t>
      </w:r>
      <w:r w:rsidRPr="00EE622E">
        <w:rPr>
          <w:rFonts w:ascii="Arial" w:hAnsi="Arial" w:cs="Arial"/>
          <w:sz w:val="24"/>
          <w:szCs w:val="24"/>
        </w:rPr>
        <w:t xml:space="preserve">: </w:t>
      </w:r>
      <w:r w:rsidR="00581336">
        <w:rPr>
          <w:rFonts w:ascii="Arial" w:hAnsi="Arial" w:cs="Arial"/>
          <w:sz w:val="24"/>
          <w:szCs w:val="24"/>
        </w:rPr>
        <w:t>There should be a requirement</w:t>
      </w:r>
      <w:r w:rsidRPr="00EE622E">
        <w:rPr>
          <w:rFonts w:ascii="Arial" w:hAnsi="Arial" w:cs="Arial"/>
          <w:sz w:val="24"/>
          <w:szCs w:val="24"/>
        </w:rPr>
        <w:t xml:space="preserve"> that the </w:t>
      </w:r>
      <w:proofErr w:type="spellStart"/>
      <w:r w:rsidRPr="00EE622E">
        <w:rPr>
          <w:rFonts w:ascii="Arial" w:hAnsi="Arial" w:cs="Arial"/>
          <w:sz w:val="24"/>
          <w:szCs w:val="24"/>
        </w:rPr>
        <w:t>PIRC</w:t>
      </w:r>
      <w:proofErr w:type="spellEnd"/>
      <w:r w:rsidRPr="00EE622E">
        <w:rPr>
          <w:rFonts w:ascii="Arial" w:hAnsi="Arial" w:cs="Arial"/>
          <w:sz w:val="24"/>
          <w:szCs w:val="24"/>
        </w:rPr>
        <w:t xml:space="preserve"> gives reasons, at least to those affected, for a decision not to investigate any ‘serious incident’ involving a person serving with the police or ‘matter in the public interest’.</w:t>
      </w:r>
    </w:p>
    <w:p w:rsidR="00EE622E" w:rsidRPr="00255305" w:rsidRDefault="00EE622E" w:rsidP="00F265AD">
      <w:pPr>
        <w:pStyle w:val="ListParagraph"/>
        <w:numPr>
          <w:ilvl w:val="0"/>
          <w:numId w:val="24"/>
        </w:numPr>
        <w:spacing w:line="240" w:lineRule="auto"/>
        <w:rPr>
          <w:rFonts w:ascii="Arial" w:hAnsi="Arial" w:cs="Arial"/>
          <w:sz w:val="24"/>
          <w:szCs w:val="24"/>
        </w:rPr>
      </w:pPr>
      <w:r w:rsidRPr="00255305">
        <w:rPr>
          <w:rFonts w:ascii="Arial" w:hAnsi="Arial" w:cs="Arial"/>
          <w:sz w:val="24"/>
          <w:szCs w:val="24"/>
        </w:rPr>
        <w:t xml:space="preserve">Regulation 4(3) states that where the </w:t>
      </w:r>
      <w:proofErr w:type="spellStart"/>
      <w:r w:rsidRPr="00255305">
        <w:rPr>
          <w:rFonts w:ascii="Arial" w:hAnsi="Arial" w:cs="Arial"/>
          <w:sz w:val="24"/>
          <w:szCs w:val="24"/>
        </w:rPr>
        <w:t>PIRC</w:t>
      </w:r>
      <w:proofErr w:type="spellEnd"/>
      <w:r w:rsidRPr="00255305">
        <w:rPr>
          <w:rFonts w:ascii="Arial" w:hAnsi="Arial" w:cs="Arial"/>
          <w:sz w:val="24"/>
          <w:szCs w:val="24"/>
        </w:rPr>
        <w:t xml:space="preserve"> decides not to carry out an investigation, it may refer the matter back to the person who requested the investigation with appropriate recommendations.  The Regulations are silent on the status of those recommendations.</w:t>
      </w:r>
    </w:p>
    <w:p w:rsidR="00581336" w:rsidRDefault="00EE622E" w:rsidP="00F265AD">
      <w:pPr>
        <w:spacing w:line="240" w:lineRule="auto"/>
        <w:ind w:left="360"/>
        <w:rPr>
          <w:rFonts w:ascii="Arial" w:hAnsi="Arial" w:cs="Arial"/>
          <w:sz w:val="24"/>
          <w:szCs w:val="24"/>
        </w:rPr>
      </w:pPr>
      <w:r w:rsidRPr="00EE622E">
        <w:rPr>
          <w:rFonts w:ascii="Arial" w:hAnsi="Arial" w:cs="Arial"/>
          <w:b/>
          <w:sz w:val="24"/>
          <w:szCs w:val="24"/>
        </w:rPr>
        <w:t>Recommendation</w:t>
      </w:r>
      <w:r w:rsidRPr="00EE622E">
        <w:rPr>
          <w:rFonts w:ascii="Arial" w:hAnsi="Arial" w:cs="Arial"/>
          <w:sz w:val="24"/>
          <w:szCs w:val="24"/>
        </w:rPr>
        <w:t xml:space="preserve">: The Regulations should require the Police or SPA to comply with the </w:t>
      </w:r>
      <w:proofErr w:type="spellStart"/>
      <w:r w:rsidRPr="00EE622E">
        <w:rPr>
          <w:rFonts w:ascii="Arial" w:hAnsi="Arial" w:cs="Arial"/>
          <w:sz w:val="24"/>
          <w:szCs w:val="24"/>
        </w:rPr>
        <w:t>PIRC’s</w:t>
      </w:r>
      <w:proofErr w:type="spellEnd"/>
      <w:r w:rsidRPr="00EE622E">
        <w:rPr>
          <w:rFonts w:ascii="Arial" w:hAnsi="Arial" w:cs="Arial"/>
          <w:sz w:val="24"/>
          <w:szCs w:val="24"/>
        </w:rPr>
        <w:t xml:space="preserve"> recommendations.</w:t>
      </w:r>
    </w:p>
    <w:p w:rsidR="002D4433" w:rsidRDefault="002D4433" w:rsidP="00F265AD">
      <w:pPr>
        <w:spacing w:line="240" w:lineRule="auto"/>
        <w:ind w:left="360"/>
        <w:rPr>
          <w:rFonts w:ascii="Arial" w:hAnsi="Arial" w:cs="Arial"/>
          <w:sz w:val="24"/>
          <w:szCs w:val="24"/>
        </w:rPr>
      </w:pPr>
    </w:p>
    <w:p w:rsidR="002D4433" w:rsidRPr="00EE622E" w:rsidRDefault="002D4433" w:rsidP="00F265AD">
      <w:pPr>
        <w:spacing w:line="240" w:lineRule="auto"/>
        <w:ind w:left="360"/>
        <w:rPr>
          <w:rFonts w:ascii="Arial" w:hAnsi="Arial" w:cs="Arial"/>
          <w:sz w:val="24"/>
          <w:szCs w:val="24"/>
        </w:rPr>
      </w:pPr>
    </w:p>
    <w:p w:rsidR="00EE622E" w:rsidRPr="00EE622E" w:rsidRDefault="00EE622E" w:rsidP="00F265AD">
      <w:pPr>
        <w:spacing w:line="240" w:lineRule="auto"/>
        <w:rPr>
          <w:rFonts w:ascii="Arial" w:hAnsi="Arial" w:cs="Arial"/>
          <w:i/>
          <w:sz w:val="24"/>
          <w:szCs w:val="24"/>
        </w:rPr>
      </w:pPr>
      <w:r w:rsidRPr="00EE622E">
        <w:rPr>
          <w:rFonts w:ascii="Arial" w:hAnsi="Arial" w:cs="Arial"/>
          <w:i/>
          <w:sz w:val="24"/>
          <w:szCs w:val="24"/>
        </w:rPr>
        <w:lastRenderedPageBreak/>
        <w:t>Co-operation and assistance</w:t>
      </w:r>
    </w:p>
    <w:p w:rsidR="00EE622E" w:rsidRPr="00255305" w:rsidRDefault="00EE622E" w:rsidP="00F265AD">
      <w:pPr>
        <w:pStyle w:val="ListParagraph"/>
        <w:numPr>
          <w:ilvl w:val="0"/>
          <w:numId w:val="24"/>
        </w:numPr>
        <w:spacing w:line="240" w:lineRule="auto"/>
        <w:rPr>
          <w:rFonts w:ascii="Arial" w:hAnsi="Arial" w:cs="Arial"/>
          <w:sz w:val="24"/>
          <w:szCs w:val="24"/>
        </w:rPr>
      </w:pPr>
      <w:r w:rsidRPr="00255305">
        <w:rPr>
          <w:rFonts w:ascii="Arial" w:hAnsi="Arial" w:cs="Arial"/>
          <w:sz w:val="24"/>
          <w:szCs w:val="24"/>
        </w:rPr>
        <w:t xml:space="preserve">Regulation 5 sets out the co-operation and assistance that must be provided from the Police Service and the SPA in respect of </w:t>
      </w:r>
      <w:proofErr w:type="spellStart"/>
      <w:r w:rsidRPr="00255305">
        <w:rPr>
          <w:rFonts w:ascii="Arial" w:hAnsi="Arial" w:cs="Arial"/>
          <w:sz w:val="24"/>
          <w:szCs w:val="24"/>
        </w:rPr>
        <w:t>PIRC</w:t>
      </w:r>
      <w:proofErr w:type="spellEnd"/>
      <w:r w:rsidRPr="00255305">
        <w:rPr>
          <w:rFonts w:ascii="Arial" w:hAnsi="Arial" w:cs="Arial"/>
          <w:sz w:val="24"/>
          <w:szCs w:val="24"/>
        </w:rPr>
        <w:t xml:space="preserve"> investigations.  In its 2013 submission, the Commission welcomed this important duty of co-operation and assistance.  However, the Commission made clear in its 2013 submission that in order to </w:t>
      </w:r>
      <w:r w:rsidR="00581336">
        <w:rPr>
          <w:rFonts w:ascii="Arial" w:hAnsi="Arial" w:cs="Arial"/>
          <w:sz w:val="24"/>
          <w:szCs w:val="24"/>
        </w:rPr>
        <w:t>ensure</w:t>
      </w:r>
      <w:r w:rsidRPr="00255305">
        <w:rPr>
          <w:rFonts w:ascii="Arial" w:hAnsi="Arial" w:cs="Arial"/>
          <w:sz w:val="24"/>
          <w:szCs w:val="24"/>
        </w:rPr>
        <w:t xml:space="preserve">, and not assume, that the investigation will meet </w:t>
      </w:r>
      <w:proofErr w:type="spellStart"/>
      <w:r w:rsidRPr="00255305">
        <w:rPr>
          <w:rFonts w:ascii="Arial" w:hAnsi="Arial" w:cs="Arial"/>
          <w:sz w:val="24"/>
          <w:szCs w:val="24"/>
        </w:rPr>
        <w:t>ECHR</w:t>
      </w:r>
      <w:proofErr w:type="spellEnd"/>
      <w:r w:rsidRPr="00255305">
        <w:rPr>
          <w:rFonts w:ascii="Arial" w:hAnsi="Arial" w:cs="Arial"/>
          <w:sz w:val="24"/>
          <w:szCs w:val="24"/>
        </w:rPr>
        <w:t xml:space="preserve"> requirements</w:t>
      </w:r>
      <w:r w:rsidR="00255305">
        <w:rPr>
          <w:rFonts w:ascii="Arial" w:hAnsi="Arial" w:cs="Arial"/>
          <w:sz w:val="24"/>
          <w:szCs w:val="24"/>
        </w:rPr>
        <w:t xml:space="preserve">, there should be an explicit requirement that the </w:t>
      </w:r>
      <w:proofErr w:type="spellStart"/>
      <w:r w:rsidR="00255305">
        <w:rPr>
          <w:rFonts w:ascii="Arial" w:hAnsi="Arial" w:cs="Arial"/>
          <w:sz w:val="24"/>
          <w:szCs w:val="24"/>
        </w:rPr>
        <w:t>PIRC</w:t>
      </w:r>
      <w:proofErr w:type="spellEnd"/>
      <w:r w:rsidR="00255305">
        <w:rPr>
          <w:rFonts w:ascii="Arial" w:hAnsi="Arial" w:cs="Arial"/>
          <w:sz w:val="24"/>
          <w:szCs w:val="24"/>
        </w:rPr>
        <w:t xml:space="preserve"> was to be given access to persons serving with the police who may be able to assist investigations</w:t>
      </w:r>
      <w:r w:rsidRPr="00255305">
        <w:rPr>
          <w:rFonts w:ascii="Arial" w:hAnsi="Arial" w:cs="Arial"/>
          <w:sz w:val="24"/>
          <w:szCs w:val="24"/>
        </w:rPr>
        <w:t>.</w:t>
      </w:r>
    </w:p>
    <w:p w:rsidR="00255305" w:rsidRDefault="00EE622E" w:rsidP="00F265AD">
      <w:pPr>
        <w:spacing w:line="240" w:lineRule="auto"/>
        <w:ind w:left="360"/>
        <w:rPr>
          <w:rFonts w:ascii="Arial" w:hAnsi="Arial" w:cs="Arial"/>
          <w:sz w:val="24"/>
          <w:szCs w:val="24"/>
        </w:rPr>
      </w:pPr>
      <w:r w:rsidRPr="00EE622E">
        <w:rPr>
          <w:rFonts w:ascii="Arial" w:hAnsi="Arial" w:cs="Arial"/>
          <w:b/>
          <w:sz w:val="24"/>
          <w:szCs w:val="24"/>
        </w:rPr>
        <w:t>Recommendation</w:t>
      </w:r>
      <w:r w:rsidRPr="00EE622E">
        <w:rPr>
          <w:rFonts w:ascii="Arial" w:hAnsi="Arial" w:cs="Arial"/>
          <w:sz w:val="24"/>
          <w:szCs w:val="24"/>
        </w:rPr>
        <w:t xml:space="preserve">: The Regulations should include an explicit requirement that the chief constable and SPA allow the </w:t>
      </w:r>
      <w:proofErr w:type="spellStart"/>
      <w:r w:rsidRPr="00EE622E">
        <w:rPr>
          <w:rFonts w:ascii="Arial" w:hAnsi="Arial" w:cs="Arial"/>
          <w:sz w:val="24"/>
          <w:szCs w:val="24"/>
        </w:rPr>
        <w:t>PIRC</w:t>
      </w:r>
      <w:proofErr w:type="spellEnd"/>
      <w:r w:rsidRPr="00EE622E">
        <w:rPr>
          <w:rFonts w:ascii="Arial" w:hAnsi="Arial" w:cs="Arial"/>
          <w:sz w:val="24"/>
          <w:szCs w:val="24"/>
        </w:rPr>
        <w:t xml:space="preserve"> access to ‘persons serving with the police’ who may have information that could assist an investigation.  </w:t>
      </w:r>
    </w:p>
    <w:p w:rsidR="00952E34" w:rsidRDefault="00F265AD" w:rsidP="00F265AD">
      <w:pPr>
        <w:spacing w:line="240" w:lineRule="auto"/>
        <w:rPr>
          <w:rFonts w:ascii="Arial" w:hAnsi="Arial" w:cs="Arial"/>
          <w:b/>
          <w:sz w:val="24"/>
          <w:szCs w:val="24"/>
        </w:rPr>
      </w:pPr>
      <w:r>
        <w:rPr>
          <w:rFonts w:ascii="Arial" w:hAnsi="Arial" w:cs="Arial"/>
          <w:b/>
          <w:sz w:val="24"/>
          <w:szCs w:val="24"/>
        </w:rPr>
        <w:t>Conclusion</w:t>
      </w:r>
    </w:p>
    <w:p w:rsidR="00F265AD" w:rsidRPr="00F265AD" w:rsidRDefault="00F265AD" w:rsidP="00F265AD">
      <w:pPr>
        <w:pStyle w:val="ListParagraph"/>
        <w:numPr>
          <w:ilvl w:val="0"/>
          <w:numId w:val="24"/>
        </w:numPr>
        <w:spacing w:line="240" w:lineRule="auto"/>
        <w:rPr>
          <w:rFonts w:ascii="Arial" w:hAnsi="Arial" w:cs="Arial"/>
          <w:b/>
          <w:sz w:val="24"/>
          <w:szCs w:val="24"/>
        </w:rPr>
      </w:pPr>
      <w:r>
        <w:rPr>
          <w:rFonts w:ascii="Arial" w:hAnsi="Arial" w:cs="Arial"/>
          <w:sz w:val="24"/>
          <w:szCs w:val="24"/>
        </w:rPr>
        <w:t xml:space="preserve">In its 2012 submission, the Commission made clear its view that a focus on human rights must be integrated into and made explicit in the Act.  The Commission reiterates this view; human rights are essential to achieving the fundamental purpose of the police.  Further, it is </w:t>
      </w:r>
      <w:r w:rsidR="0061055F">
        <w:rPr>
          <w:rFonts w:ascii="Arial" w:hAnsi="Arial" w:cs="Arial"/>
          <w:sz w:val="24"/>
          <w:szCs w:val="24"/>
        </w:rPr>
        <w:t>vital</w:t>
      </w:r>
      <w:r>
        <w:rPr>
          <w:rFonts w:ascii="Arial" w:hAnsi="Arial" w:cs="Arial"/>
          <w:sz w:val="24"/>
          <w:szCs w:val="24"/>
        </w:rPr>
        <w:t xml:space="preserve"> that provisions relating to investigations explicitly reference the clear human rights obligations that arise in this area.  </w:t>
      </w:r>
    </w:p>
    <w:p w:rsidR="00F265AD" w:rsidRPr="00F265AD" w:rsidRDefault="00F265AD" w:rsidP="00F265AD">
      <w:pPr>
        <w:pStyle w:val="ListParagraph"/>
        <w:spacing w:line="240" w:lineRule="auto"/>
        <w:ind w:left="360"/>
        <w:rPr>
          <w:rFonts w:ascii="Arial" w:hAnsi="Arial" w:cs="Arial"/>
          <w:b/>
          <w:sz w:val="24"/>
          <w:szCs w:val="24"/>
        </w:rPr>
      </w:pPr>
    </w:p>
    <w:p w:rsidR="00F265AD" w:rsidRPr="00F265AD" w:rsidRDefault="00F265AD" w:rsidP="00F265AD">
      <w:pPr>
        <w:pStyle w:val="ListParagraph"/>
        <w:numPr>
          <w:ilvl w:val="0"/>
          <w:numId w:val="24"/>
        </w:numPr>
        <w:spacing w:line="240" w:lineRule="auto"/>
        <w:rPr>
          <w:rFonts w:ascii="Arial" w:hAnsi="Arial" w:cs="Arial"/>
          <w:b/>
          <w:sz w:val="24"/>
          <w:szCs w:val="24"/>
        </w:rPr>
      </w:pPr>
      <w:r>
        <w:rPr>
          <w:rFonts w:ascii="Arial" w:hAnsi="Arial" w:cs="Arial"/>
          <w:sz w:val="24"/>
          <w:szCs w:val="24"/>
        </w:rPr>
        <w:t xml:space="preserve">The Commission has made a number of recommendations in this submission, many of which were made during the course of the Act’s and Regulations’ passages into law.  The Commission would be pleased to answer any questions that the Committee may have in relation to this submission.    </w:t>
      </w:r>
    </w:p>
    <w:p w:rsidR="00F265AD" w:rsidRDefault="00F265AD" w:rsidP="00F265AD">
      <w:pPr>
        <w:spacing w:line="240" w:lineRule="auto"/>
        <w:rPr>
          <w:rFonts w:ascii="Arial" w:hAnsi="Arial" w:cs="Arial"/>
          <w:b/>
          <w:sz w:val="24"/>
          <w:szCs w:val="24"/>
        </w:rPr>
      </w:pPr>
    </w:p>
    <w:p w:rsidR="00F265AD" w:rsidRDefault="00F265AD" w:rsidP="00F265AD">
      <w:pPr>
        <w:spacing w:line="240" w:lineRule="auto"/>
        <w:jc w:val="right"/>
        <w:rPr>
          <w:rFonts w:ascii="Arial" w:hAnsi="Arial" w:cs="Arial"/>
          <w:b/>
          <w:sz w:val="24"/>
          <w:szCs w:val="24"/>
        </w:rPr>
      </w:pPr>
      <w:r>
        <w:rPr>
          <w:rFonts w:ascii="Arial" w:hAnsi="Arial" w:cs="Arial"/>
          <w:b/>
          <w:sz w:val="24"/>
          <w:szCs w:val="24"/>
        </w:rPr>
        <w:t>Scottish Human Rights Commission</w:t>
      </w:r>
    </w:p>
    <w:p w:rsidR="00F265AD" w:rsidRPr="00F265AD" w:rsidRDefault="00F265AD" w:rsidP="00F265AD">
      <w:pPr>
        <w:spacing w:line="240" w:lineRule="auto"/>
        <w:jc w:val="right"/>
        <w:rPr>
          <w:rFonts w:ascii="Arial" w:hAnsi="Arial" w:cs="Arial"/>
          <w:b/>
          <w:sz w:val="24"/>
          <w:szCs w:val="24"/>
        </w:rPr>
      </w:pPr>
      <w:r>
        <w:rPr>
          <w:rFonts w:ascii="Arial" w:hAnsi="Arial" w:cs="Arial"/>
          <w:b/>
          <w:sz w:val="24"/>
          <w:szCs w:val="24"/>
        </w:rPr>
        <w:t>May 2018</w:t>
      </w:r>
    </w:p>
    <w:sectPr w:rsidR="00F265AD" w:rsidRPr="00F265AD" w:rsidSect="00AB54FF">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6BB" w:rsidRDefault="009456BB">
      <w:pPr>
        <w:spacing w:line="240" w:lineRule="auto"/>
      </w:pPr>
      <w:r>
        <w:separator/>
      </w:r>
    </w:p>
  </w:endnote>
  <w:endnote w:type="continuationSeparator" w:id="0">
    <w:p w:rsidR="009456BB" w:rsidRDefault="00945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6BB" w:rsidRPr="0067486A" w:rsidRDefault="009456BB"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6BB" w:rsidRDefault="009456BB">
      <w:pPr>
        <w:spacing w:line="240" w:lineRule="auto"/>
      </w:pPr>
      <w:r>
        <w:separator/>
      </w:r>
    </w:p>
  </w:footnote>
  <w:footnote w:type="continuationSeparator" w:id="0">
    <w:p w:rsidR="009456BB" w:rsidRDefault="009456BB">
      <w:pPr>
        <w:spacing w:line="240" w:lineRule="auto"/>
      </w:pPr>
      <w:r>
        <w:continuationSeparator/>
      </w:r>
    </w:p>
  </w:footnote>
  <w:footnote w:id="1">
    <w:p w:rsidR="00EE622E" w:rsidRPr="00F265AD" w:rsidRDefault="00EE622E">
      <w:pPr>
        <w:pStyle w:val="FootnoteText"/>
        <w:rPr>
          <w:rFonts w:ascii="Arial" w:hAnsi="Arial" w:cs="Arial"/>
        </w:rPr>
      </w:pPr>
      <w:r w:rsidRPr="00F265AD">
        <w:rPr>
          <w:rStyle w:val="FootnoteReference"/>
          <w:rFonts w:ascii="Arial" w:hAnsi="Arial" w:cs="Arial"/>
        </w:rPr>
        <w:footnoteRef/>
      </w:r>
      <w:r w:rsidRPr="00F265AD">
        <w:rPr>
          <w:rFonts w:ascii="Arial" w:hAnsi="Arial" w:cs="Arial"/>
        </w:rPr>
        <w:t xml:space="preserve"> Section 6 of the Human Rights Act 1998 requires all public authorities, including the police, to act in a way which is compatible with the rights and freedoms contained in the European Convention on Human Rights.  </w:t>
      </w:r>
    </w:p>
  </w:footnote>
  <w:footnote w:id="2">
    <w:p w:rsidR="00BC52CF" w:rsidRPr="00F265AD" w:rsidRDefault="00BC52CF">
      <w:pPr>
        <w:pStyle w:val="FootnoteText"/>
        <w:rPr>
          <w:rFonts w:ascii="Arial" w:hAnsi="Arial" w:cs="Arial"/>
        </w:rPr>
      </w:pPr>
      <w:r w:rsidRPr="00F265AD">
        <w:rPr>
          <w:rStyle w:val="FootnoteReference"/>
          <w:rFonts w:ascii="Arial" w:hAnsi="Arial" w:cs="Arial"/>
        </w:rPr>
        <w:footnoteRef/>
      </w:r>
      <w:r w:rsidRPr="00F265AD">
        <w:rPr>
          <w:rFonts w:ascii="Arial" w:hAnsi="Arial" w:cs="Arial"/>
        </w:rPr>
        <w:t xml:space="preserve"> Adopted by General Assembly resolution 34/169 of 17 December 1979.</w:t>
      </w:r>
    </w:p>
  </w:footnote>
  <w:footnote w:id="3">
    <w:p w:rsidR="00CF34A2" w:rsidRPr="00F265AD" w:rsidRDefault="00CF34A2" w:rsidP="00CF34A2">
      <w:pPr>
        <w:pStyle w:val="FootnoteText"/>
        <w:jc w:val="both"/>
        <w:rPr>
          <w:rFonts w:ascii="Arial" w:hAnsi="Arial" w:cs="Arial"/>
        </w:rPr>
      </w:pPr>
      <w:r w:rsidRPr="00F265AD">
        <w:rPr>
          <w:rStyle w:val="FootnoteReference"/>
          <w:rFonts w:ascii="Arial" w:hAnsi="Arial" w:cs="Arial"/>
        </w:rPr>
        <w:footnoteRef/>
      </w:r>
      <w:r w:rsidRPr="00F265AD">
        <w:rPr>
          <w:rFonts w:ascii="Arial" w:hAnsi="Arial" w:cs="Arial"/>
        </w:rPr>
        <w:t xml:space="preserve"> Recommendation Rec(2001)10 adopted by the Committee of Ministers on </w:t>
      </w:r>
      <w:smartTag w:uri="urn:schemas-microsoft-com:office:smarttags" w:element="date">
        <w:smartTagPr>
          <w:attr w:name="Month" w:val="9"/>
          <w:attr w:name="Day" w:val="19"/>
          <w:attr w:name="Year" w:val="2001"/>
        </w:smartTagPr>
        <w:r w:rsidRPr="00F265AD">
          <w:rPr>
            <w:rFonts w:ascii="Arial" w:hAnsi="Arial" w:cs="Arial"/>
          </w:rPr>
          <w:t>19 September 2001</w:t>
        </w:r>
      </w:smartTag>
      <w:r w:rsidRPr="00F265AD">
        <w:rPr>
          <w:rFonts w:ascii="Arial" w:hAnsi="Arial" w:cs="Arial"/>
        </w:rPr>
        <w:t xml:space="preserve"> at the 765th meeting of the Ministers’ Deputies.</w:t>
      </w:r>
    </w:p>
  </w:footnote>
  <w:footnote w:id="4">
    <w:p w:rsidR="00CF34A2" w:rsidRPr="0077194D" w:rsidRDefault="00CF34A2" w:rsidP="00CF34A2">
      <w:pPr>
        <w:pStyle w:val="FootnoteText"/>
        <w:jc w:val="both"/>
        <w:rPr>
          <w:rFonts w:ascii="Times New Roman" w:hAnsi="Times New Roman"/>
        </w:rPr>
      </w:pPr>
      <w:r w:rsidRPr="00F265AD">
        <w:rPr>
          <w:rStyle w:val="FootnoteReference"/>
          <w:rFonts w:ascii="Arial" w:hAnsi="Arial" w:cs="Arial"/>
        </w:rPr>
        <w:footnoteRef/>
      </w:r>
      <w:r w:rsidRPr="00F265AD">
        <w:rPr>
          <w:rFonts w:ascii="Arial" w:hAnsi="Arial" w:cs="Arial"/>
        </w:rPr>
        <w:t xml:space="preserve"> Adopted by the key representatives of the national Police Oversight Bodies and national Anti-Corruption Authorities of the Member States of the Council of Europe and the European Union at the Eleventh Annual Professional Conference of the European Partners Against Corruption, including the EU’s Anti-Corruption Contact-point Network, in </w:t>
      </w:r>
      <w:proofErr w:type="spellStart"/>
      <w:r w:rsidRPr="00F265AD">
        <w:rPr>
          <w:rFonts w:ascii="Arial" w:hAnsi="Arial" w:cs="Arial"/>
        </w:rPr>
        <w:t>Laxenburg</w:t>
      </w:r>
      <w:proofErr w:type="spellEnd"/>
      <w:r w:rsidRPr="00F265AD">
        <w:rPr>
          <w:rFonts w:ascii="Arial" w:hAnsi="Arial" w:cs="Arial"/>
        </w:rPr>
        <w:t>, Austria, 22 to 25 November 2011.</w:t>
      </w:r>
    </w:p>
  </w:footnote>
  <w:footnote w:id="5">
    <w:p w:rsidR="00D66A76" w:rsidRPr="00F265AD" w:rsidRDefault="00D66A76" w:rsidP="00D66A76">
      <w:pPr>
        <w:pStyle w:val="FootnoteText"/>
        <w:rPr>
          <w:rFonts w:ascii="Arial" w:hAnsi="Arial" w:cs="Arial"/>
        </w:rPr>
      </w:pPr>
      <w:r w:rsidRPr="00F265AD">
        <w:rPr>
          <w:rStyle w:val="FootnoteReference"/>
          <w:rFonts w:ascii="Arial" w:hAnsi="Arial" w:cs="Arial"/>
        </w:rPr>
        <w:footnoteRef/>
      </w:r>
      <w:r w:rsidRPr="00F265AD">
        <w:rPr>
          <w:rFonts w:ascii="Arial" w:hAnsi="Arial" w:cs="Arial"/>
        </w:rPr>
        <w:t xml:space="preserve"> Available at:  </w:t>
      </w:r>
      <w:hyperlink r:id="rId1" w:history="1">
        <w:r w:rsidRPr="00F265AD">
          <w:rPr>
            <w:rStyle w:val="Hyperlink"/>
            <w:rFonts w:ascii="Arial" w:hAnsi="Arial" w:cs="Arial"/>
          </w:rPr>
          <w:t>http://www.scotland.police.uk/about-us/code-of-ethics-for-policing-in-scotland/</w:t>
        </w:r>
      </w:hyperlink>
      <w:r w:rsidRPr="00F265AD">
        <w:rPr>
          <w:rFonts w:ascii="Arial" w:hAnsi="Arial" w:cs="Arial"/>
        </w:rPr>
        <w:t xml:space="preserve"> </w:t>
      </w:r>
    </w:p>
  </w:footnote>
  <w:footnote w:id="6">
    <w:p w:rsidR="00462A00" w:rsidRDefault="00462A00">
      <w:pPr>
        <w:pStyle w:val="FootnoteText"/>
      </w:pPr>
      <w:r w:rsidRPr="00F265AD">
        <w:rPr>
          <w:rStyle w:val="FootnoteReference"/>
          <w:rFonts w:ascii="Arial" w:hAnsi="Arial" w:cs="Arial"/>
        </w:rPr>
        <w:footnoteRef/>
      </w:r>
      <w:r w:rsidRPr="00F265AD">
        <w:rPr>
          <w:rFonts w:ascii="Arial" w:hAnsi="Arial" w:cs="Arial"/>
        </w:rPr>
        <w:t xml:space="preserve"> Section 94(4) of the Act.</w:t>
      </w:r>
    </w:p>
  </w:footnote>
  <w:footnote w:id="7">
    <w:p w:rsidR="005C1024" w:rsidRPr="00F265AD" w:rsidRDefault="005C1024" w:rsidP="00F265AD">
      <w:pPr>
        <w:spacing w:line="240" w:lineRule="auto"/>
        <w:rPr>
          <w:rFonts w:ascii="Arial" w:hAnsi="Arial" w:cs="Arial"/>
          <w:sz w:val="20"/>
          <w:szCs w:val="20"/>
        </w:rPr>
      </w:pPr>
      <w:r w:rsidRPr="00F265AD">
        <w:rPr>
          <w:rStyle w:val="FootnoteReference"/>
          <w:rFonts w:ascii="Arial" w:hAnsi="Arial" w:cs="Arial"/>
          <w:sz w:val="20"/>
          <w:szCs w:val="20"/>
        </w:rPr>
        <w:footnoteRef/>
      </w:r>
      <w:r w:rsidRPr="00F265AD">
        <w:rPr>
          <w:rFonts w:ascii="Arial" w:hAnsi="Arial" w:cs="Arial"/>
          <w:sz w:val="20"/>
          <w:szCs w:val="20"/>
        </w:rPr>
        <w:t xml:space="preserve"> </w:t>
      </w:r>
      <w:proofErr w:type="spellStart"/>
      <w:r w:rsidRPr="00F265AD">
        <w:rPr>
          <w:rFonts w:ascii="Arial" w:hAnsi="Arial" w:cs="Arial"/>
          <w:sz w:val="20"/>
          <w:szCs w:val="20"/>
        </w:rPr>
        <w:t>SPT</w:t>
      </w:r>
      <w:proofErr w:type="spellEnd"/>
      <w:r w:rsidRPr="00F265AD">
        <w:rPr>
          <w:rFonts w:ascii="Arial" w:hAnsi="Arial" w:cs="Arial"/>
          <w:sz w:val="20"/>
          <w:szCs w:val="20"/>
        </w:rPr>
        <w:t xml:space="preserve">, </w:t>
      </w:r>
      <w:r w:rsidRPr="00F265AD">
        <w:rPr>
          <w:rFonts w:ascii="Arial" w:hAnsi="Arial" w:cs="Arial"/>
          <w:i/>
          <w:iCs/>
          <w:sz w:val="20"/>
          <w:szCs w:val="20"/>
        </w:rPr>
        <w:t>Guidelines on national preventive mechanisms</w:t>
      </w:r>
      <w:r w:rsidRPr="00F265AD">
        <w:rPr>
          <w:rFonts w:ascii="Arial" w:hAnsi="Arial" w:cs="Arial"/>
          <w:sz w:val="20"/>
          <w:szCs w:val="20"/>
        </w:rPr>
        <w:t xml:space="preserve"> CAT/OP/12/5 (9 December 2010), available at </w:t>
      </w:r>
      <w:hyperlink r:id="rId2" w:tooltip="blocked::http://www2.ohchr.org/english/bodies/cat/opcat/docs/SPT_Guidelines_NPM_en.doc" w:history="1">
        <w:r w:rsidRPr="00F265AD">
          <w:rPr>
            <w:rStyle w:val="Hyperlink"/>
            <w:rFonts w:ascii="Arial" w:hAnsi="Arial" w:cs="Arial"/>
            <w:sz w:val="20"/>
            <w:szCs w:val="20"/>
          </w:rPr>
          <w:t>http://www2.ohchr.org/english/bodies/cat/opcat/docs/SPT_Guidelines_NPM_en.doc</w:t>
        </w:r>
      </w:hyperlink>
    </w:p>
  </w:footnote>
  <w:footnote w:id="8">
    <w:p w:rsidR="00EE622E" w:rsidRPr="003D5D8C" w:rsidRDefault="00EE622E" w:rsidP="00F265AD">
      <w:pPr>
        <w:pStyle w:val="FootnoteText"/>
      </w:pPr>
      <w:r w:rsidRPr="00F265AD">
        <w:rPr>
          <w:rStyle w:val="FootnoteReference"/>
          <w:rFonts w:ascii="Arial" w:hAnsi="Arial" w:cs="Arial"/>
        </w:rPr>
        <w:footnoteRef/>
      </w:r>
      <w:r w:rsidRPr="00F265AD">
        <w:rPr>
          <w:rFonts w:ascii="Arial" w:hAnsi="Arial" w:cs="Arial"/>
        </w:rPr>
        <w:t xml:space="preserve"> See section 3.5 of 2012 submission.</w:t>
      </w:r>
      <w:r>
        <w:t xml:space="preserve"> </w:t>
      </w:r>
    </w:p>
  </w:footnote>
  <w:footnote w:id="9">
    <w:p w:rsidR="00EE622E" w:rsidRPr="00F265AD" w:rsidRDefault="00EE622E" w:rsidP="00EE622E">
      <w:pPr>
        <w:pStyle w:val="FootnoteText"/>
        <w:rPr>
          <w:rFonts w:ascii="Arial" w:hAnsi="Arial" w:cs="Arial"/>
        </w:rPr>
      </w:pPr>
      <w:r w:rsidRPr="00F265AD">
        <w:rPr>
          <w:rStyle w:val="FootnoteReference"/>
          <w:rFonts w:ascii="Arial" w:hAnsi="Arial" w:cs="Arial"/>
        </w:rPr>
        <w:footnoteRef/>
      </w:r>
      <w:r w:rsidRPr="00F265AD">
        <w:rPr>
          <w:rFonts w:ascii="Arial" w:hAnsi="Arial" w:cs="Arial"/>
        </w:rPr>
        <w:t xml:space="preserve"> See, for example, </w:t>
      </w:r>
      <w:r w:rsidRPr="00F265AD">
        <w:rPr>
          <w:rFonts w:ascii="Arial" w:hAnsi="Arial" w:cs="Arial"/>
          <w:i/>
        </w:rPr>
        <w:t xml:space="preserve">Edwards v United Kingdom </w:t>
      </w:r>
      <w:r w:rsidRPr="00F265AD">
        <w:rPr>
          <w:rFonts w:ascii="Arial" w:hAnsi="Arial" w:cs="Arial"/>
        </w:rPr>
        <w:t xml:space="preserve">(2002) 35 </w:t>
      </w:r>
      <w:proofErr w:type="spellStart"/>
      <w:r w:rsidRPr="00F265AD">
        <w:rPr>
          <w:rFonts w:ascii="Arial" w:hAnsi="Arial" w:cs="Arial"/>
        </w:rPr>
        <w:t>E.H.R.R</w:t>
      </w:r>
      <w:proofErr w:type="spellEnd"/>
      <w:r w:rsidRPr="00F265AD">
        <w:rPr>
          <w:rFonts w:ascii="Arial" w:hAnsi="Arial" w:cs="Arial"/>
        </w:rPr>
        <w:t>. 19.</w:t>
      </w:r>
    </w:p>
  </w:footnote>
  <w:footnote w:id="10">
    <w:p w:rsidR="00EE622E" w:rsidRPr="00277004" w:rsidRDefault="00EE622E" w:rsidP="00EE622E">
      <w:pPr>
        <w:pStyle w:val="FootnoteText"/>
      </w:pPr>
      <w:r w:rsidRPr="00F265AD">
        <w:rPr>
          <w:rStyle w:val="FootnoteReference"/>
          <w:rFonts w:ascii="Arial" w:hAnsi="Arial" w:cs="Arial"/>
        </w:rPr>
        <w:footnoteRef/>
      </w:r>
      <w:r w:rsidRPr="00F265AD">
        <w:rPr>
          <w:rFonts w:ascii="Arial" w:hAnsi="Arial" w:cs="Arial"/>
        </w:rPr>
        <w:t xml:space="preserve"> See </w:t>
      </w:r>
      <w:r w:rsidRPr="00F265AD">
        <w:rPr>
          <w:rFonts w:ascii="Arial" w:hAnsi="Arial" w:cs="Arial"/>
          <w:i/>
        </w:rPr>
        <w:t xml:space="preserve">Osman v United Kingdom </w:t>
      </w:r>
      <w:r w:rsidRPr="00F265AD">
        <w:rPr>
          <w:rFonts w:ascii="Arial" w:hAnsi="Arial" w:cs="Arial"/>
        </w:rPr>
        <w:t xml:space="preserve">(2000) 29 </w:t>
      </w:r>
      <w:proofErr w:type="spellStart"/>
      <w:r w:rsidRPr="00F265AD">
        <w:rPr>
          <w:rFonts w:ascii="Arial" w:hAnsi="Arial" w:cs="Arial"/>
        </w:rPr>
        <w:t>E.H.R.R</w:t>
      </w:r>
      <w:proofErr w:type="spellEnd"/>
      <w:r w:rsidRPr="00F265AD">
        <w:rPr>
          <w:rFonts w:ascii="Arial" w:hAnsi="Arial" w:cs="Arial"/>
        </w:rPr>
        <w:t>. 245.</w:t>
      </w:r>
    </w:p>
  </w:footnote>
  <w:footnote w:id="11">
    <w:p w:rsidR="00EE622E" w:rsidRPr="00F265AD" w:rsidRDefault="00EE622E" w:rsidP="00EE622E">
      <w:pPr>
        <w:pStyle w:val="FootnoteText"/>
        <w:rPr>
          <w:rFonts w:ascii="Arial" w:hAnsi="Arial" w:cs="Arial"/>
        </w:rPr>
      </w:pPr>
      <w:r w:rsidRPr="00F265AD">
        <w:rPr>
          <w:rStyle w:val="FootnoteReference"/>
          <w:rFonts w:ascii="Arial" w:hAnsi="Arial" w:cs="Arial"/>
        </w:rPr>
        <w:footnoteRef/>
      </w:r>
      <w:r w:rsidRPr="00F265AD">
        <w:rPr>
          <w:rFonts w:ascii="Arial" w:hAnsi="Arial" w:cs="Arial"/>
        </w:rPr>
        <w:t xml:space="preserve"> Regulation 6, The Police Investigations and Review Commissioner (Investigations Procedure, Serious Incidents and Specified Weapons) Regulations 2013.</w:t>
      </w:r>
    </w:p>
  </w:footnote>
  <w:footnote w:id="12">
    <w:p w:rsidR="00EE622E" w:rsidRPr="00F265AD" w:rsidRDefault="00EE622E" w:rsidP="00EE622E">
      <w:pPr>
        <w:pStyle w:val="FootnoteText"/>
        <w:rPr>
          <w:rFonts w:ascii="Arial" w:hAnsi="Arial" w:cs="Arial"/>
        </w:rPr>
      </w:pPr>
      <w:r w:rsidRPr="00F265AD">
        <w:rPr>
          <w:rStyle w:val="FootnoteReference"/>
          <w:rFonts w:ascii="Arial" w:hAnsi="Arial" w:cs="Arial"/>
        </w:rPr>
        <w:footnoteRef/>
      </w:r>
      <w:r w:rsidRPr="00F265AD">
        <w:rPr>
          <w:rFonts w:ascii="Arial" w:hAnsi="Arial" w:cs="Arial"/>
        </w:rPr>
        <w:t xml:space="preserve"> See s. 64 Police and Fire Reform (Scotland) Act 2012; </w:t>
      </w:r>
      <w:proofErr w:type="spellStart"/>
      <w:r w:rsidRPr="00F265AD">
        <w:rPr>
          <w:rFonts w:ascii="Arial" w:hAnsi="Arial" w:cs="Arial"/>
        </w:rPr>
        <w:t>Reg</w:t>
      </w:r>
      <w:proofErr w:type="spellEnd"/>
      <w:r w:rsidRPr="00F265AD">
        <w:rPr>
          <w:rFonts w:ascii="Arial" w:hAnsi="Arial" w:cs="Arial"/>
        </w:rPr>
        <w:t xml:space="preserve"> 4 Police Investigations and Review Commissioner (Investigations Procedure, Serious Incidents and Specified Weapons) Regulations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12431"/>
      <w:docPartObj>
        <w:docPartGallery w:val="Page Numbers (Top of Page)"/>
        <w:docPartUnique/>
      </w:docPartObj>
    </w:sdtPr>
    <w:sdtEndPr>
      <w:rPr>
        <w:noProof/>
      </w:rPr>
    </w:sdtEndPr>
    <w:sdtContent>
      <w:p w:rsidR="009456BB" w:rsidRDefault="009456BB">
        <w:pPr>
          <w:pStyle w:val="Header"/>
          <w:jc w:val="right"/>
        </w:pPr>
        <w:r>
          <w:fldChar w:fldCharType="begin"/>
        </w:r>
        <w:r>
          <w:instrText xml:space="preserve"> PAGE   \* MERGEFORMAT </w:instrText>
        </w:r>
        <w:r>
          <w:fldChar w:fldCharType="separate"/>
        </w:r>
        <w:r w:rsidR="00901CFC">
          <w:rPr>
            <w:noProof/>
          </w:rPr>
          <w:t>1</w:t>
        </w:r>
        <w:r>
          <w:rPr>
            <w:noProof/>
          </w:rPr>
          <w:fldChar w:fldCharType="end"/>
        </w:r>
      </w:p>
    </w:sdtContent>
  </w:sdt>
  <w:p w:rsidR="009456BB" w:rsidRPr="0067486A" w:rsidRDefault="009456BB"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E0372A"/>
    <w:multiLevelType w:val="hybridMultilevel"/>
    <w:tmpl w:val="192035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45C7EB8"/>
    <w:multiLevelType w:val="hybridMultilevel"/>
    <w:tmpl w:val="1F6CE3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52031D"/>
    <w:multiLevelType w:val="hybridMultilevel"/>
    <w:tmpl w:val="47D2A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7E7400"/>
    <w:multiLevelType w:val="hybridMultilevel"/>
    <w:tmpl w:val="D8A836B6"/>
    <w:lvl w:ilvl="0" w:tplc="3FA88540">
      <w:start w:val="1"/>
      <w:numFmt w:val="decimal"/>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0845C90"/>
    <w:multiLevelType w:val="hybridMultilevel"/>
    <w:tmpl w:val="9B56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001BA2"/>
    <w:multiLevelType w:val="hybridMultilevel"/>
    <w:tmpl w:val="9C3E82BE"/>
    <w:lvl w:ilvl="0" w:tplc="5E6A9FB6">
      <w:start w:val="1"/>
      <w:numFmt w:val="decimal"/>
      <w:lvlText w:val="%1."/>
      <w:lvlJc w:val="left"/>
      <w:pPr>
        <w:ind w:left="36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1A634B"/>
    <w:multiLevelType w:val="hybridMultilevel"/>
    <w:tmpl w:val="0C8A7D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BDC7F89"/>
    <w:multiLevelType w:val="hybridMultilevel"/>
    <w:tmpl w:val="9564C762"/>
    <w:lvl w:ilvl="0" w:tplc="3FA8854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AB66D7"/>
    <w:multiLevelType w:val="hybridMultilevel"/>
    <w:tmpl w:val="48B6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8E6DF2"/>
    <w:multiLevelType w:val="hybridMultilevel"/>
    <w:tmpl w:val="8F6CC0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89975DA"/>
    <w:multiLevelType w:val="hybridMultilevel"/>
    <w:tmpl w:val="D598C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F219BB"/>
    <w:multiLevelType w:val="hybridMultilevel"/>
    <w:tmpl w:val="1A72F2FC"/>
    <w:lvl w:ilvl="0" w:tplc="5254E61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FC81848"/>
    <w:multiLevelType w:val="hybridMultilevel"/>
    <w:tmpl w:val="9564C762"/>
    <w:lvl w:ilvl="0" w:tplc="3FA8854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0BE0499"/>
    <w:multiLevelType w:val="hybridMultilevel"/>
    <w:tmpl w:val="08783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28639D"/>
    <w:multiLevelType w:val="hybridMultilevel"/>
    <w:tmpl w:val="A9A80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1D431FC"/>
    <w:multiLevelType w:val="hybridMultilevel"/>
    <w:tmpl w:val="B7F2684E"/>
    <w:lvl w:ilvl="0" w:tplc="2BE8DF70">
      <w:start w:val="1"/>
      <w:numFmt w:val="decimal"/>
      <w:lvlText w:val="%1."/>
      <w:lvlJc w:val="left"/>
      <w:pPr>
        <w:ind w:left="720" w:hanging="360"/>
      </w:pPr>
      <w:rPr>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47448BE"/>
    <w:multiLevelType w:val="hybridMultilevel"/>
    <w:tmpl w:val="78F49C00"/>
    <w:lvl w:ilvl="0" w:tplc="3FA8854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DC41EBE"/>
    <w:multiLevelType w:val="hybridMultilevel"/>
    <w:tmpl w:val="170680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31A491E"/>
    <w:multiLevelType w:val="hybridMultilevel"/>
    <w:tmpl w:val="AFC80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99157D8"/>
    <w:multiLevelType w:val="hybridMultilevel"/>
    <w:tmpl w:val="9C12E398"/>
    <w:lvl w:ilvl="0" w:tplc="3FA8854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0BC5407"/>
    <w:multiLevelType w:val="hybridMultilevel"/>
    <w:tmpl w:val="CC4AA8D6"/>
    <w:lvl w:ilvl="0" w:tplc="2BE8DF70">
      <w:start w:val="1"/>
      <w:numFmt w:val="decimal"/>
      <w:lvlText w:val="%1."/>
      <w:lvlJc w:val="left"/>
      <w:pPr>
        <w:ind w:left="360" w:hanging="360"/>
      </w:pPr>
      <w:rPr>
        <w:b w:val="0"/>
        <w:i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3">
    <w:nsid w:val="67DB7B6B"/>
    <w:multiLevelType w:val="hybridMultilevel"/>
    <w:tmpl w:val="44026DA2"/>
    <w:lvl w:ilvl="0" w:tplc="3FA88540">
      <w:start w:val="1"/>
      <w:numFmt w:val="decimal"/>
      <w:lvlText w:val="%1."/>
      <w:lvlJc w:val="left"/>
      <w:pPr>
        <w:ind w:left="720" w:hanging="360"/>
      </w:pPr>
      <w:rPr>
        <w:b w:val="0"/>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A3714FD"/>
    <w:multiLevelType w:val="hybridMultilevel"/>
    <w:tmpl w:val="F7E01750"/>
    <w:lvl w:ilvl="0" w:tplc="3FA8854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B81025F"/>
    <w:multiLevelType w:val="hybridMultilevel"/>
    <w:tmpl w:val="82B85578"/>
    <w:lvl w:ilvl="0" w:tplc="1D20A3A6">
      <w:start w:val="1"/>
      <w:numFmt w:val="bullet"/>
      <w:pStyle w:val="Sty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BD80986"/>
    <w:multiLevelType w:val="hybridMultilevel"/>
    <w:tmpl w:val="13BA3084"/>
    <w:lvl w:ilvl="0" w:tplc="00CCEF9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CBB18D3"/>
    <w:multiLevelType w:val="hybridMultilevel"/>
    <w:tmpl w:val="313C4158"/>
    <w:lvl w:ilvl="0" w:tplc="3FA88540">
      <w:start w:val="1"/>
      <w:numFmt w:val="decimal"/>
      <w:lvlText w:val="%1."/>
      <w:lvlJc w:val="left"/>
      <w:pPr>
        <w:ind w:left="815" w:hanging="360"/>
      </w:pPr>
      <w:rPr>
        <w:b w:val="0"/>
        <w:i w:val="0"/>
      </w:rPr>
    </w:lvl>
    <w:lvl w:ilvl="1" w:tplc="08090019" w:tentative="1">
      <w:start w:val="1"/>
      <w:numFmt w:val="lowerLetter"/>
      <w:lvlText w:val="%2."/>
      <w:lvlJc w:val="left"/>
      <w:pPr>
        <w:ind w:left="1535" w:hanging="360"/>
      </w:pPr>
    </w:lvl>
    <w:lvl w:ilvl="2" w:tplc="0809001B" w:tentative="1">
      <w:start w:val="1"/>
      <w:numFmt w:val="lowerRoman"/>
      <w:lvlText w:val="%3."/>
      <w:lvlJc w:val="right"/>
      <w:pPr>
        <w:ind w:left="2255" w:hanging="180"/>
      </w:pPr>
    </w:lvl>
    <w:lvl w:ilvl="3" w:tplc="0809000F" w:tentative="1">
      <w:start w:val="1"/>
      <w:numFmt w:val="decimal"/>
      <w:lvlText w:val="%4."/>
      <w:lvlJc w:val="left"/>
      <w:pPr>
        <w:ind w:left="2975" w:hanging="360"/>
      </w:pPr>
    </w:lvl>
    <w:lvl w:ilvl="4" w:tplc="08090019" w:tentative="1">
      <w:start w:val="1"/>
      <w:numFmt w:val="lowerLetter"/>
      <w:lvlText w:val="%5."/>
      <w:lvlJc w:val="left"/>
      <w:pPr>
        <w:ind w:left="3695" w:hanging="360"/>
      </w:pPr>
    </w:lvl>
    <w:lvl w:ilvl="5" w:tplc="0809001B" w:tentative="1">
      <w:start w:val="1"/>
      <w:numFmt w:val="lowerRoman"/>
      <w:lvlText w:val="%6."/>
      <w:lvlJc w:val="right"/>
      <w:pPr>
        <w:ind w:left="4415" w:hanging="180"/>
      </w:pPr>
    </w:lvl>
    <w:lvl w:ilvl="6" w:tplc="0809000F" w:tentative="1">
      <w:start w:val="1"/>
      <w:numFmt w:val="decimal"/>
      <w:lvlText w:val="%7."/>
      <w:lvlJc w:val="left"/>
      <w:pPr>
        <w:ind w:left="5135" w:hanging="360"/>
      </w:pPr>
    </w:lvl>
    <w:lvl w:ilvl="7" w:tplc="08090019" w:tentative="1">
      <w:start w:val="1"/>
      <w:numFmt w:val="lowerLetter"/>
      <w:lvlText w:val="%8."/>
      <w:lvlJc w:val="left"/>
      <w:pPr>
        <w:ind w:left="5855" w:hanging="360"/>
      </w:pPr>
    </w:lvl>
    <w:lvl w:ilvl="8" w:tplc="0809001B" w:tentative="1">
      <w:start w:val="1"/>
      <w:numFmt w:val="lowerRoman"/>
      <w:lvlText w:val="%9."/>
      <w:lvlJc w:val="right"/>
      <w:pPr>
        <w:ind w:left="6575" w:hanging="180"/>
      </w:pPr>
    </w:lvl>
  </w:abstractNum>
  <w:abstractNum w:abstractNumId="28">
    <w:nsid w:val="6F3E701F"/>
    <w:multiLevelType w:val="hybridMultilevel"/>
    <w:tmpl w:val="DC4E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973211"/>
    <w:multiLevelType w:val="hybridMultilevel"/>
    <w:tmpl w:val="C25A9C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nsid w:val="781212CB"/>
    <w:multiLevelType w:val="hybridMultilevel"/>
    <w:tmpl w:val="581A4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0"/>
  </w:num>
  <w:num w:numId="3">
    <w:abstractNumId w:val="0"/>
  </w:num>
  <w:num w:numId="4">
    <w:abstractNumId w:val="0"/>
  </w:num>
  <w:num w:numId="5">
    <w:abstractNumId w:val="25"/>
  </w:num>
  <w:num w:numId="6">
    <w:abstractNumId w:val="23"/>
  </w:num>
  <w:num w:numId="7">
    <w:abstractNumId w:val="26"/>
  </w:num>
  <w:num w:numId="8">
    <w:abstractNumId w:val="18"/>
  </w:num>
  <w:num w:numId="9">
    <w:abstractNumId w:val="1"/>
  </w:num>
  <w:num w:numId="10">
    <w:abstractNumId w:val="24"/>
  </w:num>
  <w:num w:numId="11">
    <w:abstractNumId w:val="17"/>
  </w:num>
  <w:num w:numId="12">
    <w:abstractNumId w:val="4"/>
  </w:num>
  <w:num w:numId="13">
    <w:abstractNumId w:val="27"/>
  </w:num>
  <w:num w:numId="14">
    <w:abstractNumId w:val="13"/>
  </w:num>
  <w:num w:numId="15">
    <w:abstractNumId w:val="8"/>
  </w:num>
  <w:num w:numId="16">
    <w:abstractNumId w:val="20"/>
  </w:num>
  <w:num w:numId="17">
    <w:abstractNumId w:val="5"/>
  </w:num>
  <w:num w:numId="18">
    <w:abstractNumId w:val="9"/>
  </w:num>
  <w:num w:numId="19">
    <w:abstractNumId w:val="15"/>
  </w:num>
  <w:num w:numId="20">
    <w:abstractNumId w:val="7"/>
  </w:num>
  <w:num w:numId="21">
    <w:abstractNumId w:val="12"/>
  </w:num>
  <w:num w:numId="22">
    <w:abstractNumId w:val="10"/>
  </w:num>
  <w:num w:numId="23">
    <w:abstractNumId w:val="29"/>
  </w:num>
  <w:num w:numId="24">
    <w:abstractNumId w:val="21"/>
  </w:num>
  <w:num w:numId="25">
    <w:abstractNumId w:val="14"/>
  </w:num>
  <w:num w:numId="26">
    <w:abstractNumId w:val="28"/>
  </w:num>
  <w:num w:numId="27">
    <w:abstractNumId w:val="2"/>
  </w:num>
  <w:num w:numId="28">
    <w:abstractNumId w:val="3"/>
  </w:num>
  <w:num w:numId="29">
    <w:abstractNumId w:val="11"/>
  </w:num>
  <w:num w:numId="30">
    <w:abstractNumId w:val="19"/>
  </w:num>
  <w:num w:numId="31">
    <w:abstractNumId w:val="3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3B5"/>
    <w:rsid w:val="0002463A"/>
    <w:rsid w:val="00027BB4"/>
    <w:rsid w:val="00036DA8"/>
    <w:rsid w:val="0005581B"/>
    <w:rsid w:val="0006134D"/>
    <w:rsid w:val="00087781"/>
    <w:rsid w:val="00092D2C"/>
    <w:rsid w:val="00096AC4"/>
    <w:rsid w:val="000B1EF8"/>
    <w:rsid w:val="000B51AD"/>
    <w:rsid w:val="000C61B6"/>
    <w:rsid w:val="000D4F62"/>
    <w:rsid w:val="000F21C4"/>
    <w:rsid w:val="000F2688"/>
    <w:rsid w:val="00100021"/>
    <w:rsid w:val="001267F7"/>
    <w:rsid w:val="00127C7D"/>
    <w:rsid w:val="00133D9D"/>
    <w:rsid w:val="00147CAA"/>
    <w:rsid w:val="001562BE"/>
    <w:rsid w:val="00157346"/>
    <w:rsid w:val="00161795"/>
    <w:rsid w:val="00165DCF"/>
    <w:rsid w:val="001701B0"/>
    <w:rsid w:val="0018034F"/>
    <w:rsid w:val="00192584"/>
    <w:rsid w:val="00192DC7"/>
    <w:rsid w:val="00193912"/>
    <w:rsid w:val="00196BCD"/>
    <w:rsid w:val="001D1B39"/>
    <w:rsid w:val="001D79CB"/>
    <w:rsid w:val="001E62D5"/>
    <w:rsid w:val="001F5950"/>
    <w:rsid w:val="00253FF8"/>
    <w:rsid w:val="00255305"/>
    <w:rsid w:val="0026692E"/>
    <w:rsid w:val="002A79E7"/>
    <w:rsid w:val="002C4F74"/>
    <w:rsid w:val="002D4433"/>
    <w:rsid w:val="002F3688"/>
    <w:rsid w:val="002F61B0"/>
    <w:rsid w:val="003877C1"/>
    <w:rsid w:val="00387B6B"/>
    <w:rsid w:val="00391459"/>
    <w:rsid w:val="003914BA"/>
    <w:rsid w:val="00395EB0"/>
    <w:rsid w:val="003D05BF"/>
    <w:rsid w:val="003F2479"/>
    <w:rsid w:val="0040418D"/>
    <w:rsid w:val="00411FC4"/>
    <w:rsid w:val="00422638"/>
    <w:rsid w:val="0045059A"/>
    <w:rsid w:val="00452182"/>
    <w:rsid w:val="00462A00"/>
    <w:rsid w:val="0048371F"/>
    <w:rsid w:val="00495CEC"/>
    <w:rsid w:val="004B38A9"/>
    <w:rsid w:val="004B5E3E"/>
    <w:rsid w:val="004D0AC7"/>
    <w:rsid w:val="00504D39"/>
    <w:rsid w:val="00540475"/>
    <w:rsid w:val="005450C9"/>
    <w:rsid w:val="0054708D"/>
    <w:rsid w:val="005516F6"/>
    <w:rsid w:val="0055254F"/>
    <w:rsid w:val="00572AFE"/>
    <w:rsid w:val="00575C2F"/>
    <w:rsid w:val="00580D2E"/>
    <w:rsid w:val="00581336"/>
    <w:rsid w:val="00583411"/>
    <w:rsid w:val="0059532D"/>
    <w:rsid w:val="005A1B00"/>
    <w:rsid w:val="005A531A"/>
    <w:rsid w:val="005A68EA"/>
    <w:rsid w:val="005A6EDF"/>
    <w:rsid w:val="005B5AE6"/>
    <w:rsid w:val="005C1024"/>
    <w:rsid w:val="005D3479"/>
    <w:rsid w:val="005D6271"/>
    <w:rsid w:val="005E4B45"/>
    <w:rsid w:val="0061055F"/>
    <w:rsid w:val="006129D5"/>
    <w:rsid w:val="006170E2"/>
    <w:rsid w:val="00617D58"/>
    <w:rsid w:val="006372DD"/>
    <w:rsid w:val="00647B8F"/>
    <w:rsid w:val="00657B69"/>
    <w:rsid w:val="00665A65"/>
    <w:rsid w:val="00666015"/>
    <w:rsid w:val="0067486A"/>
    <w:rsid w:val="006B7BC3"/>
    <w:rsid w:val="006C6A23"/>
    <w:rsid w:val="006C7C92"/>
    <w:rsid w:val="006D26F7"/>
    <w:rsid w:val="006D4167"/>
    <w:rsid w:val="006F570F"/>
    <w:rsid w:val="00714AAB"/>
    <w:rsid w:val="0074135B"/>
    <w:rsid w:val="00742C62"/>
    <w:rsid w:val="00747FE0"/>
    <w:rsid w:val="0077635E"/>
    <w:rsid w:val="007778FF"/>
    <w:rsid w:val="00793CBA"/>
    <w:rsid w:val="007A3E79"/>
    <w:rsid w:val="007A6509"/>
    <w:rsid w:val="007B1D1A"/>
    <w:rsid w:val="007B6CC2"/>
    <w:rsid w:val="007C6680"/>
    <w:rsid w:val="007D2ED4"/>
    <w:rsid w:val="007D6669"/>
    <w:rsid w:val="007E0F39"/>
    <w:rsid w:val="007F4211"/>
    <w:rsid w:val="00812770"/>
    <w:rsid w:val="00817252"/>
    <w:rsid w:val="00821B2B"/>
    <w:rsid w:val="00841DA7"/>
    <w:rsid w:val="0085197D"/>
    <w:rsid w:val="00854794"/>
    <w:rsid w:val="0086702C"/>
    <w:rsid w:val="0087067A"/>
    <w:rsid w:val="00870D04"/>
    <w:rsid w:val="00877946"/>
    <w:rsid w:val="00880CE8"/>
    <w:rsid w:val="00884EB0"/>
    <w:rsid w:val="00884FEC"/>
    <w:rsid w:val="00890E04"/>
    <w:rsid w:val="00892419"/>
    <w:rsid w:val="008A24AF"/>
    <w:rsid w:val="008A2CA5"/>
    <w:rsid w:val="008A5F3E"/>
    <w:rsid w:val="008B10DA"/>
    <w:rsid w:val="008B570F"/>
    <w:rsid w:val="008D59B9"/>
    <w:rsid w:val="008D6272"/>
    <w:rsid w:val="008F4AFA"/>
    <w:rsid w:val="00901CFC"/>
    <w:rsid w:val="009110D6"/>
    <w:rsid w:val="00923561"/>
    <w:rsid w:val="00932F65"/>
    <w:rsid w:val="009456BB"/>
    <w:rsid w:val="00952710"/>
    <w:rsid w:val="00952E34"/>
    <w:rsid w:val="00957656"/>
    <w:rsid w:val="00963205"/>
    <w:rsid w:val="009676A3"/>
    <w:rsid w:val="00994F02"/>
    <w:rsid w:val="009970C9"/>
    <w:rsid w:val="009B12D3"/>
    <w:rsid w:val="009C324C"/>
    <w:rsid w:val="009C6BDC"/>
    <w:rsid w:val="009F71B8"/>
    <w:rsid w:val="00A129B9"/>
    <w:rsid w:val="00A403EF"/>
    <w:rsid w:val="00A52111"/>
    <w:rsid w:val="00A56EBA"/>
    <w:rsid w:val="00A62C1B"/>
    <w:rsid w:val="00A646A4"/>
    <w:rsid w:val="00A6765C"/>
    <w:rsid w:val="00A90A53"/>
    <w:rsid w:val="00A9636D"/>
    <w:rsid w:val="00AB54FF"/>
    <w:rsid w:val="00AB775C"/>
    <w:rsid w:val="00AC1DBA"/>
    <w:rsid w:val="00AC310B"/>
    <w:rsid w:val="00AD170A"/>
    <w:rsid w:val="00AD4BFC"/>
    <w:rsid w:val="00AD6425"/>
    <w:rsid w:val="00AE01CB"/>
    <w:rsid w:val="00AE248E"/>
    <w:rsid w:val="00AE4B1A"/>
    <w:rsid w:val="00AF0120"/>
    <w:rsid w:val="00AF2FB6"/>
    <w:rsid w:val="00AF7B9B"/>
    <w:rsid w:val="00B45425"/>
    <w:rsid w:val="00B83700"/>
    <w:rsid w:val="00B94DDE"/>
    <w:rsid w:val="00BA0B8D"/>
    <w:rsid w:val="00BB296F"/>
    <w:rsid w:val="00BC52CF"/>
    <w:rsid w:val="00BC6F29"/>
    <w:rsid w:val="00BD0697"/>
    <w:rsid w:val="00BE5D1A"/>
    <w:rsid w:val="00BE71A4"/>
    <w:rsid w:val="00BF3484"/>
    <w:rsid w:val="00C03881"/>
    <w:rsid w:val="00C072B2"/>
    <w:rsid w:val="00C1478D"/>
    <w:rsid w:val="00C2326F"/>
    <w:rsid w:val="00C32CDB"/>
    <w:rsid w:val="00C340E7"/>
    <w:rsid w:val="00C543AB"/>
    <w:rsid w:val="00C86FBA"/>
    <w:rsid w:val="00C87F5E"/>
    <w:rsid w:val="00CB0A9C"/>
    <w:rsid w:val="00CC7690"/>
    <w:rsid w:val="00CD038C"/>
    <w:rsid w:val="00CD7A2F"/>
    <w:rsid w:val="00CE1B11"/>
    <w:rsid w:val="00CE2C9E"/>
    <w:rsid w:val="00CE7408"/>
    <w:rsid w:val="00CF34A2"/>
    <w:rsid w:val="00D20DCC"/>
    <w:rsid w:val="00D212B9"/>
    <w:rsid w:val="00D47F9F"/>
    <w:rsid w:val="00D50E2F"/>
    <w:rsid w:val="00D57E01"/>
    <w:rsid w:val="00D66200"/>
    <w:rsid w:val="00D66A76"/>
    <w:rsid w:val="00D675B3"/>
    <w:rsid w:val="00D8135D"/>
    <w:rsid w:val="00D81B95"/>
    <w:rsid w:val="00DA47EF"/>
    <w:rsid w:val="00DA5C5F"/>
    <w:rsid w:val="00DB2B84"/>
    <w:rsid w:val="00DB7BF9"/>
    <w:rsid w:val="00DD3AF7"/>
    <w:rsid w:val="00DF70CB"/>
    <w:rsid w:val="00E21DB9"/>
    <w:rsid w:val="00E262CD"/>
    <w:rsid w:val="00E3599D"/>
    <w:rsid w:val="00E36759"/>
    <w:rsid w:val="00E519F5"/>
    <w:rsid w:val="00E53C6E"/>
    <w:rsid w:val="00E54D54"/>
    <w:rsid w:val="00E803B5"/>
    <w:rsid w:val="00EC330E"/>
    <w:rsid w:val="00ED6191"/>
    <w:rsid w:val="00ED7E59"/>
    <w:rsid w:val="00EE2B12"/>
    <w:rsid w:val="00EE622E"/>
    <w:rsid w:val="00EF19B9"/>
    <w:rsid w:val="00EF2E67"/>
    <w:rsid w:val="00F265AD"/>
    <w:rsid w:val="00F31286"/>
    <w:rsid w:val="00F335B2"/>
    <w:rsid w:val="00F414DF"/>
    <w:rsid w:val="00F44365"/>
    <w:rsid w:val="00F462C9"/>
    <w:rsid w:val="00F529F2"/>
    <w:rsid w:val="00F60AA0"/>
    <w:rsid w:val="00F7380E"/>
    <w:rsid w:val="00F755DA"/>
    <w:rsid w:val="00F94896"/>
    <w:rsid w:val="00FB06C5"/>
    <w:rsid w:val="00FB1245"/>
    <w:rsid w:val="00FB4EA1"/>
    <w:rsid w:val="00FC37DF"/>
    <w:rsid w:val="00FD346F"/>
    <w:rsid w:val="00FD4C09"/>
    <w:rsid w:val="00FE3BF5"/>
    <w:rsid w:val="00FF3B3E"/>
    <w:rsid w:val="00FF447F"/>
    <w:rsid w:val="00FF4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3B5"/>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customStyle="1" w:styleId="Style1">
    <w:name w:val="Style1"/>
    <w:basedOn w:val="ListParagraph"/>
    <w:link w:val="Style1Char"/>
    <w:qFormat/>
    <w:rsid w:val="00E803B5"/>
    <w:pPr>
      <w:numPr>
        <w:numId w:val="5"/>
      </w:numPr>
      <w:spacing w:after="0" w:line="240" w:lineRule="atLeast"/>
      <w:jc w:val="both"/>
    </w:pPr>
    <w:rPr>
      <w:rFonts w:eastAsia="Times New Roman" w:cs="Times New Roman"/>
      <w:iCs/>
      <w:color w:val="000000"/>
      <w:lang w:eastAsia="en-GB"/>
    </w:rPr>
  </w:style>
  <w:style w:type="paragraph" w:styleId="Title">
    <w:name w:val="Title"/>
    <w:basedOn w:val="Heading1"/>
    <w:next w:val="Normal"/>
    <w:link w:val="TitleChar"/>
    <w:uiPriority w:val="10"/>
    <w:qFormat/>
    <w:rsid w:val="00E803B5"/>
    <w:pPr>
      <w:numPr>
        <w:numId w:val="0"/>
      </w:numPr>
    </w:pPr>
    <w:rPr>
      <w:rFonts w:cs="Arial"/>
      <w:b/>
      <w:kern w:val="0"/>
      <w:sz w:val="28"/>
      <w:szCs w:val="28"/>
      <w:u w:val="single"/>
    </w:rPr>
  </w:style>
  <w:style w:type="character" w:customStyle="1" w:styleId="TitleChar">
    <w:name w:val="Title Char"/>
    <w:basedOn w:val="DefaultParagraphFont"/>
    <w:link w:val="Title"/>
    <w:uiPriority w:val="10"/>
    <w:rsid w:val="00E803B5"/>
    <w:rPr>
      <w:rFonts w:asciiTheme="minorHAnsi" w:eastAsiaTheme="minorHAnsi" w:hAnsiTheme="minorHAnsi" w:cs="Arial"/>
      <w:b/>
      <w:sz w:val="28"/>
      <w:szCs w:val="28"/>
      <w:u w:val="single"/>
      <w:lang w:eastAsia="en-US"/>
    </w:rPr>
  </w:style>
  <w:style w:type="character" w:customStyle="1" w:styleId="Style1Char">
    <w:name w:val="Style1 Char"/>
    <w:basedOn w:val="DefaultParagraphFont"/>
    <w:link w:val="Style1"/>
    <w:rsid w:val="00E803B5"/>
    <w:rPr>
      <w:rFonts w:asciiTheme="minorHAnsi" w:hAnsiTheme="minorHAnsi"/>
      <w:iCs/>
      <w:color w:val="000000"/>
      <w:sz w:val="22"/>
      <w:szCs w:val="22"/>
    </w:rPr>
  </w:style>
  <w:style w:type="paragraph" w:styleId="ListParagraph">
    <w:name w:val="List Paragraph"/>
    <w:basedOn w:val="Normal"/>
    <w:uiPriority w:val="34"/>
    <w:qFormat/>
    <w:rsid w:val="00E803B5"/>
    <w:pPr>
      <w:ind w:left="720"/>
      <w:contextualSpacing/>
    </w:pPr>
  </w:style>
  <w:style w:type="paragraph" w:styleId="FootnoteText">
    <w:name w:val="footnote text"/>
    <w:aliases w:val="Footnote Text Char Char,Footnote Text Char1 Char Char,Footnote Text Char Char Char Char,Footnote Text Char Char1,Footnote Text Char1 Char,Footnote Text Char Char Char,Footnote Text Char1 Char Char Char Char,Char,Footnote Text Char1, Char,C"/>
    <w:basedOn w:val="Normal"/>
    <w:link w:val="FootnoteTextChar"/>
    <w:unhideWhenUsed/>
    <w:rsid w:val="00D20DCC"/>
    <w:pPr>
      <w:spacing w:after="0" w:line="240" w:lineRule="auto"/>
    </w:pPr>
    <w:rPr>
      <w:sz w:val="20"/>
      <w:szCs w:val="20"/>
    </w:rPr>
  </w:style>
  <w:style w:type="character" w:customStyle="1" w:styleId="FootnoteTextChar">
    <w:name w:val="Footnote Text Char"/>
    <w:aliases w:val="Footnote Text Char Char Char1,Footnote Text Char1 Char Char Char,Footnote Text Char Char Char Char Char,Footnote Text Char Char1 Char,Footnote Text Char1 Char Char1,Footnote Text Char Char Char Char1,Char Char, Char Char,C Char"/>
    <w:basedOn w:val="DefaultParagraphFont"/>
    <w:link w:val="FootnoteText"/>
    <w:rsid w:val="00D20DCC"/>
    <w:rPr>
      <w:rFonts w:asciiTheme="minorHAnsi" w:eastAsiaTheme="minorHAnsi" w:hAnsiTheme="minorHAnsi" w:cstheme="minorBidi"/>
      <w:sz w:val="20"/>
      <w:lang w:eastAsia="en-US"/>
    </w:rPr>
  </w:style>
  <w:style w:type="character" w:styleId="FootnoteReference">
    <w:name w:val="footnote reference"/>
    <w:aliases w:val="Footnotes refss,Footnote Reference in text,Footnote Reference Superscript,callout"/>
    <w:basedOn w:val="DefaultParagraphFont"/>
    <w:unhideWhenUsed/>
    <w:rsid w:val="00D20DCC"/>
    <w:rPr>
      <w:vertAlign w:val="superscript"/>
    </w:rPr>
  </w:style>
  <w:style w:type="character" w:styleId="Hyperlink">
    <w:name w:val="Hyperlink"/>
    <w:basedOn w:val="DefaultParagraphFont"/>
    <w:uiPriority w:val="99"/>
    <w:unhideWhenUsed/>
    <w:rsid w:val="000D4F62"/>
    <w:rPr>
      <w:color w:val="0000FF" w:themeColor="hyperlink"/>
      <w:u w:val="single"/>
    </w:rPr>
  </w:style>
  <w:style w:type="table" w:styleId="TableGrid">
    <w:name w:val="Table Grid"/>
    <w:basedOn w:val="TableNormal"/>
    <w:uiPriority w:val="59"/>
    <w:rsid w:val="00F52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418D"/>
    <w:rPr>
      <w:sz w:val="16"/>
      <w:szCs w:val="16"/>
    </w:rPr>
  </w:style>
  <w:style w:type="paragraph" w:styleId="CommentText">
    <w:name w:val="annotation text"/>
    <w:basedOn w:val="Normal"/>
    <w:link w:val="CommentTextChar"/>
    <w:uiPriority w:val="99"/>
    <w:semiHidden/>
    <w:unhideWhenUsed/>
    <w:rsid w:val="0040418D"/>
    <w:pPr>
      <w:spacing w:line="240" w:lineRule="auto"/>
    </w:pPr>
    <w:rPr>
      <w:sz w:val="20"/>
      <w:szCs w:val="20"/>
    </w:rPr>
  </w:style>
  <w:style w:type="character" w:customStyle="1" w:styleId="CommentTextChar">
    <w:name w:val="Comment Text Char"/>
    <w:basedOn w:val="DefaultParagraphFont"/>
    <w:link w:val="CommentText"/>
    <w:uiPriority w:val="99"/>
    <w:semiHidden/>
    <w:rsid w:val="0040418D"/>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rsid w:val="0040418D"/>
    <w:rPr>
      <w:b/>
      <w:bCs/>
    </w:rPr>
  </w:style>
  <w:style w:type="character" w:customStyle="1" w:styleId="CommentSubjectChar">
    <w:name w:val="Comment Subject Char"/>
    <w:basedOn w:val="CommentTextChar"/>
    <w:link w:val="CommentSubject"/>
    <w:uiPriority w:val="99"/>
    <w:semiHidden/>
    <w:rsid w:val="0040418D"/>
    <w:rPr>
      <w:rFonts w:asciiTheme="minorHAnsi" w:eastAsiaTheme="minorHAnsi" w:hAnsiTheme="minorHAnsi" w:cstheme="minorBidi"/>
      <w:b/>
      <w:bCs/>
      <w:sz w:val="20"/>
      <w:lang w:eastAsia="en-US"/>
    </w:rPr>
  </w:style>
  <w:style w:type="paragraph" w:styleId="BalloonText">
    <w:name w:val="Balloon Text"/>
    <w:basedOn w:val="Normal"/>
    <w:link w:val="BalloonTextChar"/>
    <w:uiPriority w:val="99"/>
    <w:semiHidden/>
    <w:unhideWhenUsed/>
    <w:rsid w:val="00404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18D"/>
    <w:rPr>
      <w:rFonts w:ascii="Tahoma" w:eastAsiaTheme="minorHAnsi" w:hAnsi="Tahoma" w:cs="Tahoma"/>
      <w:sz w:val="16"/>
      <w:szCs w:val="16"/>
      <w:lang w:eastAsia="en-US"/>
    </w:rPr>
  </w:style>
  <w:style w:type="character" w:customStyle="1" w:styleId="HeaderChar">
    <w:name w:val="Header Char"/>
    <w:basedOn w:val="DefaultParagraphFont"/>
    <w:link w:val="Header"/>
    <w:uiPriority w:val="99"/>
    <w:rsid w:val="00087781"/>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E622E"/>
    <w:pPr>
      <w:spacing w:after="0" w:line="240" w:lineRule="auto"/>
    </w:pPr>
    <w:rPr>
      <w:rFonts w:ascii="Times New Roman" w:eastAsia="Cambria" w:hAnsi="Times New Roman" w:cs="Times New Roman"/>
      <w:sz w:val="24"/>
      <w:szCs w:val="24"/>
      <w:lang w:eastAsia="en-GB"/>
    </w:rPr>
  </w:style>
  <w:style w:type="character" w:styleId="FollowedHyperlink">
    <w:name w:val="FollowedHyperlink"/>
    <w:basedOn w:val="DefaultParagraphFont"/>
    <w:uiPriority w:val="99"/>
    <w:semiHidden/>
    <w:unhideWhenUsed/>
    <w:rsid w:val="008172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3B5"/>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customStyle="1" w:styleId="Style1">
    <w:name w:val="Style1"/>
    <w:basedOn w:val="ListParagraph"/>
    <w:link w:val="Style1Char"/>
    <w:qFormat/>
    <w:rsid w:val="00E803B5"/>
    <w:pPr>
      <w:numPr>
        <w:numId w:val="5"/>
      </w:numPr>
      <w:spacing w:after="0" w:line="240" w:lineRule="atLeast"/>
      <w:jc w:val="both"/>
    </w:pPr>
    <w:rPr>
      <w:rFonts w:eastAsia="Times New Roman" w:cs="Times New Roman"/>
      <w:iCs/>
      <w:color w:val="000000"/>
      <w:lang w:eastAsia="en-GB"/>
    </w:rPr>
  </w:style>
  <w:style w:type="paragraph" w:styleId="Title">
    <w:name w:val="Title"/>
    <w:basedOn w:val="Heading1"/>
    <w:next w:val="Normal"/>
    <w:link w:val="TitleChar"/>
    <w:uiPriority w:val="10"/>
    <w:qFormat/>
    <w:rsid w:val="00E803B5"/>
    <w:pPr>
      <w:numPr>
        <w:numId w:val="0"/>
      </w:numPr>
    </w:pPr>
    <w:rPr>
      <w:rFonts w:cs="Arial"/>
      <w:b/>
      <w:kern w:val="0"/>
      <w:sz w:val="28"/>
      <w:szCs w:val="28"/>
      <w:u w:val="single"/>
    </w:rPr>
  </w:style>
  <w:style w:type="character" w:customStyle="1" w:styleId="TitleChar">
    <w:name w:val="Title Char"/>
    <w:basedOn w:val="DefaultParagraphFont"/>
    <w:link w:val="Title"/>
    <w:uiPriority w:val="10"/>
    <w:rsid w:val="00E803B5"/>
    <w:rPr>
      <w:rFonts w:asciiTheme="minorHAnsi" w:eastAsiaTheme="minorHAnsi" w:hAnsiTheme="minorHAnsi" w:cs="Arial"/>
      <w:b/>
      <w:sz w:val="28"/>
      <w:szCs w:val="28"/>
      <w:u w:val="single"/>
      <w:lang w:eastAsia="en-US"/>
    </w:rPr>
  </w:style>
  <w:style w:type="character" w:customStyle="1" w:styleId="Style1Char">
    <w:name w:val="Style1 Char"/>
    <w:basedOn w:val="DefaultParagraphFont"/>
    <w:link w:val="Style1"/>
    <w:rsid w:val="00E803B5"/>
    <w:rPr>
      <w:rFonts w:asciiTheme="minorHAnsi" w:hAnsiTheme="minorHAnsi"/>
      <w:iCs/>
      <w:color w:val="000000"/>
      <w:sz w:val="22"/>
      <w:szCs w:val="22"/>
    </w:rPr>
  </w:style>
  <w:style w:type="paragraph" w:styleId="ListParagraph">
    <w:name w:val="List Paragraph"/>
    <w:basedOn w:val="Normal"/>
    <w:uiPriority w:val="34"/>
    <w:qFormat/>
    <w:rsid w:val="00E803B5"/>
    <w:pPr>
      <w:ind w:left="720"/>
      <w:contextualSpacing/>
    </w:pPr>
  </w:style>
  <w:style w:type="paragraph" w:styleId="FootnoteText">
    <w:name w:val="footnote text"/>
    <w:aliases w:val="Footnote Text Char Char,Footnote Text Char1 Char Char,Footnote Text Char Char Char Char,Footnote Text Char Char1,Footnote Text Char1 Char,Footnote Text Char Char Char,Footnote Text Char1 Char Char Char Char,Char,Footnote Text Char1, Char,C"/>
    <w:basedOn w:val="Normal"/>
    <w:link w:val="FootnoteTextChar"/>
    <w:unhideWhenUsed/>
    <w:rsid w:val="00D20DCC"/>
    <w:pPr>
      <w:spacing w:after="0" w:line="240" w:lineRule="auto"/>
    </w:pPr>
    <w:rPr>
      <w:sz w:val="20"/>
      <w:szCs w:val="20"/>
    </w:rPr>
  </w:style>
  <w:style w:type="character" w:customStyle="1" w:styleId="FootnoteTextChar">
    <w:name w:val="Footnote Text Char"/>
    <w:aliases w:val="Footnote Text Char Char Char1,Footnote Text Char1 Char Char Char,Footnote Text Char Char Char Char Char,Footnote Text Char Char1 Char,Footnote Text Char1 Char Char1,Footnote Text Char Char Char Char1,Char Char, Char Char,C Char"/>
    <w:basedOn w:val="DefaultParagraphFont"/>
    <w:link w:val="FootnoteText"/>
    <w:rsid w:val="00D20DCC"/>
    <w:rPr>
      <w:rFonts w:asciiTheme="minorHAnsi" w:eastAsiaTheme="minorHAnsi" w:hAnsiTheme="minorHAnsi" w:cstheme="minorBidi"/>
      <w:sz w:val="20"/>
      <w:lang w:eastAsia="en-US"/>
    </w:rPr>
  </w:style>
  <w:style w:type="character" w:styleId="FootnoteReference">
    <w:name w:val="footnote reference"/>
    <w:aliases w:val="Footnotes refss,Footnote Reference in text,Footnote Reference Superscript,callout"/>
    <w:basedOn w:val="DefaultParagraphFont"/>
    <w:unhideWhenUsed/>
    <w:rsid w:val="00D20DCC"/>
    <w:rPr>
      <w:vertAlign w:val="superscript"/>
    </w:rPr>
  </w:style>
  <w:style w:type="character" w:styleId="Hyperlink">
    <w:name w:val="Hyperlink"/>
    <w:basedOn w:val="DefaultParagraphFont"/>
    <w:uiPriority w:val="99"/>
    <w:unhideWhenUsed/>
    <w:rsid w:val="000D4F62"/>
    <w:rPr>
      <w:color w:val="0000FF" w:themeColor="hyperlink"/>
      <w:u w:val="single"/>
    </w:rPr>
  </w:style>
  <w:style w:type="table" w:styleId="TableGrid">
    <w:name w:val="Table Grid"/>
    <w:basedOn w:val="TableNormal"/>
    <w:uiPriority w:val="59"/>
    <w:rsid w:val="00F52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418D"/>
    <w:rPr>
      <w:sz w:val="16"/>
      <w:szCs w:val="16"/>
    </w:rPr>
  </w:style>
  <w:style w:type="paragraph" w:styleId="CommentText">
    <w:name w:val="annotation text"/>
    <w:basedOn w:val="Normal"/>
    <w:link w:val="CommentTextChar"/>
    <w:uiPriority w:val="99"/>
    <w:semiHidden/>
    <w:unhideWhenUsed/>
    <w:rsid w:val="0040418D"/>
    <w:pPr>
      <w:spacing w:line="240" w:lineRule="auto"/>
    </w:pPr>
    <w:rPr>
      <w:sz w:val="20"/>
      <w:szCs w:val="20"/>
    </w:rPr>
  </w:style>
  <w:style w:type="character" w:customStyle="1" w:styleId="CommentTextChar">
    <w:name w:val="Comment Text Char"/>
    <w:basedOn w:val="DefaultParagraphFont"/>
    <w:link w:val="CommentText"/>
    <w:uiPriority w:val="99"/>
    <w:semiHidden/>
    <w:rsid w:val="0040418D"/>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rsid w:val="0040418D"/>
    <w:rPr>
      <w:b/>
      <w:bCs/>
    </w:rPr>
  </w:style>
  <w:style w:type="character" w:customStyle="1" w:styleId="CommentSubjectChar">
    <w:name w:val="Comment Subject Char"/>
    <w:basedOn w:val="CommentTextChar"/>
    <w:link w:val="CommentSubject"/>
    <w:uiPriority w:val="99"/>
    <w:semiHidden/>
    <w:rsid w:val="0040418D"/>
    <w:rPr>
      <w:rFonts w:asciiTheme="minorHAnsi" w:eastAsiaTheme="minorHAnsi" w:hAnsiTheme="minorHAnsi" w:cstheme="minorBidi"/>
      <w:b/>
      <w:bCs/>
      <w:sz w:val="20"/>
      <w:lang w:eastAsia="en-US"/>
    </w:rPr>
  </w:style>
  <w:style w:type="paragraph" w:styleId="BalloonText">
    <w:name w:val="Balloon Text"/>
    <w:basedOn w:val="Normal"/>
    <w:link w:val="BalloonTextChar"/>
    <w:uiPriority w:val="99"/>
    <w:semiHidden/>
    <w:unhideWhenUsed/>
    <w:rsid w:val="00404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18D"/>
    <w:rPr>
      <w:rFonts w:ascii="Tahoma" w:eastAsiaTheme="minorHAnsi" w:hAnsi="Tahoma" w:cs="Tahoma"/>
      <w:sz w:val="16"/>
      <w:szCs w:val="16"/>
      <w:lang w:eastAsia="en-US"/>
    </w:rPr>
  </w:style>
  <w:style w:type="character" w:customStyle="1" w:styleId="HeaderChar">
    <w:name w:val="Header Char"/>
    <w:basedOn w:val="DefaultParagraphFont"/>
    <w:link w:val="Header"/>
    <w:uiPriority w:val="99"/>
    <w:rsid w:val="00087781"/>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E622E"/>
    <w:pPr>
      <w:spacing w:after="0" w:line="240" w:lineRule="auto"/>
    </w:pPr>
    <w:rPr>
      <w:rFonts w:ascii="Times New Roman" w:eastAsia="Cambria" w:hAnsi="Times New Roman" w:cs="Times New Roman"/>
      <w:sz w:val="24"/>
      <w:szCs w:val="24"/>
      <w:lang w:eastAsia="en-GB"/>
    </w:rPr>
  </w:style>
  <w:style w:type="character" w:styleId="FollowedHyperlink">
    <w:name w:val="FollowedHyperlink"/>
    <w:basedOn w:val="DefaultParagraphFont"/>
    <w:uiPriority w:val="99"/>
    <w:semiHidden/>
    <w:unhideWhenUsed/>
    <w:rsid w:val="008172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www2.ohchr.org/english/bodies/cat/opcat/docs/SPT_Guidelines_NPM_en.doc" TargetMode="External"/><Relationship Id="rId1" Type="http://schemas.openxmlformats.org/officeDocument/2006/relationships/hyperlink" Target="http://www.scotland.police.uk/about-us/code-of-ethics-for-policing-in-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54C05-561A-40E7-809D-9ECB3908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3018</Words>
  <Characters>17205</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N320547</dc:creator>
  <cp:lastModifiedBy>N320603</cp:lastModifiedBy>
  <cp:revision>2</cp:revision>
  <cp:lastPrinted>2017-08-23T14:57:00Z</cp:lastPrinted>
  <dcterms:created xsi:type="dcterms:W3CDTF">2018-06-05T09:21:00Z</dcterms:created>
  <dcterms:modified xsi:type="dcterms:W3CDTF">2018-06-05T09:21:00Z</dcterms:modified>
</cp:coreProperties>
</file>