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89" w:rsidRDefault="00E42E89" w:rsidP="00E42E89">
      <w:pPr>
        <w:spacing w:line="240" w:lineRule="auto"/>
        <w:rPr>
          <w:rFonts w:cs="Arial"/>
          <w:color w:val="000000"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inline distT="0" distB="0" distL="0" distR="0">
            <wp:extent cx="1409700" cy="962025"/>
            <wp:effectExtent l="0" t="0" r="0" b="9525"/>
            <wp:docPr id="1" name="Picture 1" descr="SHRC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C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89" w:rsidRPr="00E42E89" w:rsidRDefault="00E42E89" w:rsidP="00E42E89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E42E89">
        <w:rPr>
          <w:rFonts w:cs="Arial"/>
          <w:b/>
          <w:sz w:val="28"/>
          <w:szCs w:val="28"/>
        </w:rPr>
        <w:t>The Scottish Human Rights Commission</w:t>
      </w:r>
    </w:p>
    <w:p w:rsidR="00E42E89" w:rsidRPr="00E42E89" w:rsidRDefault="00E42E89" w:rsidP="00E42E89">
      <w:pPr>
        <w:jc w:val="center"/>
        <w:rPr>
          <w:sz w:val="28"/>
          <w:szCs w:val="28"/>
        </w:rPr>
      </w:pPr>
      <w:r w:rsidRPr="00E42E89">
        <w:rPr>
          <w:sz w:val="28"/>
          <w:szCs w:val="28"/>
        </w:rPr>
        <w:t>Consultation on Proposals to Reform Fatal Accident Inquiries</w:t>
      </w:r>
    </w:p>
    <w:p w:rsidR="00E42E89" w:rsidRPr="00E42E89" w:rsidRDefault="00E42E89" w:rsidP="00E42E89">
      <w:pPr>
        <w:spacing w:line="240" w:lineRule="auto"/>
        <w:jc w:val="center"/>
        <w:rPr>
          <w:rFonts w:cs="Arial"/>
          <w:sz w:val="28"/>
          <w:szCs w:val="28"/>
        </w:rPr>
      </w:pPr>
      <w:r w:rsidRPr="00E42E89">
        <w:rPr>
          <w:rFonts w:cs="Arial"/>
          <w:sz w:val="28"/>
          <w:szCs w:val="28"/>
        </w:rPr>
        <w:t>Response to Scottish Government Consultation</w:t>
      </w:r>
    </w:p>
    <w:p w:rsidR="00E42E89" w:rsidRDefault="00D54775" w:rsidP="00E42E8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September</w:t>
      </w:r>
      <w:r w:rsidR="00E42E89">
        <w:rPr>
          <w:rFonts w:cs="Arial"/>
          <w:b/>
          <w:sz w:val="28"/>
          <w:szCs w:val="28"/>
        </w:rPr>
        <w:t xml:space="preserve"> 2014</w:t>
      </w:r>
    </w:p>
    <w:p w:rsidR="00E42E89" w:rsidRDefault="00E42E89" w:rsidP="00E42E8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cs="Arial"/>
          <w:b/>
          <w:szCs w:val="24"/>
        </w:rPr>
      </w:pPr>
    </w:p>
    <w:p w:rsidR="00E42E89" w:rsidRDefault="00E42E89" w:rsidP="00E42E89">
      <w:pPr>
        <w:pBdr>
          <w:top w:val="single" w:sz="4" w:space="1" w:color="000000"/>
          <w:bottom w:val="single" w:sz="4" w:space="1" w:color="000000"/>
        </w:pBdr>
        <w:autoSpaceDE w:val="0"/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The Scottish Human Rights Commission </w:t>
      </w:r>
      <w:r>
        <w:rPr>
          <w:rFonts w:cs="Arial"/>
          <w:color w:val="000000"/>
        </w:rPr>
        <w:t>is a statutory body created by the</w:t>
      </w:r>
      <w:r>
        <w:rPr>
          <w:rFonts w:cs="Arial"/>
        </w:rPr>
        <w:t xml:space="preserve"> Scottish </w:t>
      </w:r>
    </w:p>
    <w:p w:rsidR="00E42E89" w:rsidRDefault="00E42E89" w:rsidP="00E42E89">
      <w:pPr>
        <w:pBdr>
          <w:top w:val="single" w:sz="4" w:space="1" w:color="000000"/>
          <w:bottom w:val="single" w:sz="4" w:space="1" w:color="000000"/>
        </w:pBdr>
        <w:autoSpaceDE w:val="0"/>
        <w:spacing w:line="240" w:lineRule="auto"/>
        <w:jc w:val="center"/>
        <w:rPr>
          <w:rFonts w:cs="Arial"/>
          <w:color w:val="000000"/>
        </w:rPr>
      </w:pPr>
      <w:r>
        <w:rPr>
          <w:rFonts w:cs="Arial"/>
        </w:rPr>
        <w:t>Commission for Human Rights Act 2006</w:t>
      </w:r>
      <w:r>
        <w:rPr>
          <w:rFonts w:cs="Arial"/>
          <w:color w:val="000000"/>
        </w:rPr>
        <w:t xml:space="preserve">. The Commission is a national human rights institution (NHRI) and is accredited with ‘A’ status by the International Co-ordinating Committee of NHRIs at the United Nations. The Commission is the </w:t>
      </w:r>
      <w:r>
        <w:rPr>
          <w:rFonts w:cs="Arial"/>
        </w:rPr>
        <w:t xml:space="preserve">Chair of the European Network of NHRIs. </w:t>
      </w:r>
      <w:r>
        <w:rPr>
          <w:rFonts w:cs="Arial"/>
          <w:color w:val="000000"/>
        </w:rPr>
        <w:t>The Commission has general functions, including promoting human rights in Scotland, in particular to encourage best practice; monitoring of law, policies and practice; conducting inquiries into the policies and practices of Scottish public authorities; intervening in civil proceedings and providing guidance, information and education.</w:t>
      </w:r>
    </w:p>
    <w:p w:rsidR="00DB529A" w:rsidRDefault="00DB529A" w:rsidP="00E36759"/>
    <w:p w:rsidR="002D13AD" w:rsidRDefault="00926CCC" w:rsidP="00E36759">
      <w:r>
        <w:t>The Commission welcomes the opportunity to comment on the proposals to reform Fatal Accident Inquiries.  We welcome the implementation of Lord Cullen’s recommendations</w:t>
      </w:r>
      <w:r w:rsidR="009E4177">
        <w:t>,</w:t>
      </w:r>
      <w:r>
        <w:t xml:space="preserve"> which have the potential to increase human rights protection.  </w:t>
      </w:r>
      <w:r w:rsidR="009E4177">
        <w:t>In particular, t</w:t>
      </w:r>
      <w:r>
        <w:t xml:space="preserve">he </w:t>
      </w:r>
      <w:r w:rsidR="009E4177">
        <w:t>issue</w:t>
      </w:r>
      <w:r>
        <w:t xml:space="preserve"> of investigations into deaths in mental health detention is </w:t>
      </w:r>
      <w:r w:rsidR="009E4177">
        <w:t>a matter</w:t>
      </w:r>
      <w:r>
        <w:t xml:space="preserve"> on which we have called for action</w:t>
      </w:r>
      <w:r w:rsidR="009E4177">
        <w:rPr>
          <w:rStyle w:val="FootnoteReference"/>
        </w:rPr>
        <w:footnoteReference w:id="1"/>
      </w:r>
      <w:r>
        <w:t xml:space="preserve">.  We take this opportunity to comment on the proposals in relation to this issue.  Therefore we will only address </w:t>
      </w:r>
      <w:r w:rsidR="00937EEA">
        <w:t>certain</w:t>
      </w:r>
      <w:r>
        <w:t xml:space="preserve"> questions</w:t>
      </w:r>
      <w:r w:rsidR="00937EEA">
        <w:t xml:space="preserve"> in the consultation</w:t>
      </w:r>
      <w:r>
        <w:t xml:space="preserve">. </w:t>
      </w:r>
    </w:p>
    <w:p w:rsidR="00E00D4F" w:rsidRDefault="00E00D4F" w:rsidP="00E36759"/>
    <w:p w:rsidR="00092062" w:rsidRPr="00084711" w:rsidRDefault="00092062" w:rsidP="00E36759">
      <w:pPr>
        <w:rPr>
          <w:b/>
          <w:u w:val="single"/>
        </w:rPr>
      </w:pPr>
      <w:r w:rsidRPr="00084711">
        <w:rPr>
          <w:b/>
          <w:u w:val="single"/>
        </w:rPr>
        <w:t>Legal Framework</w:t>
      </w:r>
    </w:p>
    <w:p w:rsidR="00092062" w:rsidRDefault="00092062" w:rsidP="00092062">
      <w:pPr>
        <w:rPr>
          <w:rFonts w:cs="Arial"/>
          <w:b/>
          <w:u w:val="single"/>
        </w:rPr>
      </w:pPr>
    </w:p>
    <w:p w:rsidR="00092062" w:rsidRDefault="00092062" w:rsidP="00092062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cs="Arial"/>
        </w:rPr>
      </w:pPr>
      <w:r>
        <w:rPr>
          <w:rFonts w:cs="Arial"/>
        </w:rPr>
        <w:t>European Convention of Human Rights (ECHR)</w:t>
      </w:r>
    </w:p>
    <w:p w:rsidR="00092062" w:rsidRDefault="00092062" w:rsidP="00092062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cs="Arial"/>
        </w:rPr>
      </w:pPr>
      <w:r>
        <w:rPr>
          <w:rFonts w:cs="Arial"/>
        </w:rPr>
        <w:t>Scotland Act 1998</w:t>
      </w:r>
    </w:p>
    <w:p w:rsidR="00092062" w:rsidRDefault="00092062" w:rsidP="00092062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cs="Arial"/>
        </w:rPr>
      </w:pPr>
      <w:r>
        <w:rPr>
          <w:rFonts w:cs="Arial"/>
        </w:rPr>
        <w:t>Human Rights Act 1998</w:t>
      </w:r>
    </w:p>
    <w:p w:rsidR="00092062" w:rsidRDefault="00092062" w:rsidP="00E36759">
      <w:pPr>
        <w:numPr>
          <w:ilvl w:val="0"/>
          <w:numId w:val="6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</w:pPr>
      <w:r w:rsidRPr="009E4177">
        <w:rPr>
          <w:rFonts w:cs="Arial"/>
        </w:rPr>
        <w:t>UN Convention on the Rights of Persons with Disabilities (UNCRPD)</w:t>
      </w:r>
    </w:p>
    <w:p w:rsidR="00E00D4F" w:rsidRDefault="00E00D4F" w:rsidP="00E36759"/>
    <w:p w:rsidR="00C9458F" w:rsidRDefault="002D13AD" w:rsidP="00E36759">
      <w:r>
        <w:t xml:space="preserve">Article 2 </w:t>
      </w:r>
      <w:r w:rsidR="00092062">
        <w:t xml:space="preserve">ECHR </w:t>
      </w:r>
      <w:r>
        <w:t>provides that “</w:t>
      </w:r>
      <w:r w:rsidRPr="009E4177">
        <w:rPr>
          <w:i/>
        </w:rPr>
        <w:t>Everyone’s right to life shall be protected by law</w:t>
      </w:r>
      <w:r>
        <w:t xml:space="preserve">”.  This includes positive obligations to protect individuals from real threat to life.  </w:t>
      </w:r>
      <w:r w:rsidR="00426B50">
        <w:t xml:space="preserve">These positive obligations include a procedural element </w:t>
      </w:r>
      <w:r w:rsidR="00C7392C">
        <w:t xml:space="preserve">which requires effective domestic investigation of deaths </w:t>
      </w:r>
      <w:r w:rsidR="00426B50">
        <w:t>to ensure th</w:t>
      </w:r>
      <w:r w:rsidR="00C7392C">
        <w:t>e</w:t>
      </w:r>
      <w:r w:rsidR="00426B50">
        <w:t xml:space="preserve"> </w:t>
      </w:r>
      <w:r w:rsidR="00C7392C">
        <w:t xml:space="preserve">protection of life.  </w:t>
      </w:r>
    </w:p>
    <w:p w:rsidR="00C9458F" w:rsidRDefault="00C9458F" w:rsidP="00E36759"/>
    <w:p w:rsidR="00C9458F" w:rsidRDefault="00D54775" w:rsidP="00E36759">
      <w:r>
        <w:lastRenderedPageBreak/>
        <w:t>The procedural</w:t>
      </w:r>
      <w:r w:rsidR="00C7392C">
        <w:t xml:space="preserve"> obligation has particular </w:t>
      </w:r>
      <w:r>
        <w:t>weight</w:t>
      </w:r>
      <w:r w:rsidR="00D26C51">
        <w:t xml:space="preserve"> in circumstances where there is potential</w:t>
      </w:r>
      <w:r w:rsidR="00C7392C">
        <w:t xml:space="preserve"> for State responsibility.</w:t>
      </w:r>
      <w:r w:rsidR="00C9458F">
        <w:t xml:space="preserve">  </w:t>
      </w:r>
      <w:r w:rsidR="00C9458F" w:rsidRPr="00C9458F">
        <w:t>The European Court of Human Rights (</w:t>
      </w:r>
      <w:r w:rsidR="00C96EC0">
        <w:t>the Court</w:t>
      </w:r>
      <w:r w:rsidR="00C9458F" w:rsidRPr="00C9458F">
        <w:t>) has found that</w:t>
      </w:r>
      <w:r w:rsidR="00C9458F">
        <w:rPr>
          <w:i/>
        </w:rPr>
        <w:t xml:space="preserve"> </w:t>
      </w:r>
      <w:r w:rsidR="00426B50" w:rsidRPr="00C7392C">
        <w:rPr>
          <w:i/>
        </w:rPr>
        <w:t>“Where lives have been lost in circumstances potentially engaging the responsibility of the State, Article 2 entails a duty for the State to ensure, by all means at its disposal, an adequate response – judicial or otherwise – so that the legislative and administrative framework set up to protect the right to life is properly implemented and any breaches of that right are repressed and punished”</w:t>
      </w:r>
      <w:r w:rsidR="00426B50">
        <w:t xml:space="preserve"> </w:t>
      </w:r>
      <w:r w:rsidR="00C9458F">
        <w:rPr>
          <w:rStyle w:val="FootnoteReference"/>
        </w:rPr>
        <w:footnoteReference w:id="2"/>
      </w:r>
      <w:r w:rsidR="00426B50">
        <w:t>.</w:t>
      </w:r>
      <w:r w:rsidR="00DB529A">
        <w:t xml:space="preserve">  </w:t>
      </w:r>
    </w:p>
    <w:p w:rsidR="00C9458F" w:rsidRDefault="00C9458F" w:rsidP="00E36759"/>
    <w:p w:rsidR="00D54775" w:rsidRDefault="00D26C51" w:rsidP="00D26C51">
      <w:pPr>
        <w:rPr>
          <w:rFonts w:cs="Arial"/>
          <w:szCs w:val="24"/>
        </w:rPr>
      </w:pPr>
      <w:r w:rsidRPr="00D26C51">
        <w:rPr>
          <w:rFonts w:cs="Arial"/>
          <w:szCs w:val="24"/>
        </w:rPr>
        <w:t>The essential purpose of investigation is to secure the effective implementation of the domestic laws which protect the right to life and, in those cases i</w:t>
      </w:r>
      <w:r>
        <w:rPr>
          <w:rFonts w:cs="Arial"/>
          <w:szCs w:val="24"/>
        </w:rPr>
        <w:t xml:space="preserve">nvolving State agents or bodies, </w:t>
      </w:r>
      <w:r w:rsidRPr="00D26C51">
        <w:rPr>
          <w:rFonts w:cs="Arial"/>
          <w:szCs w:val="24"/>
        </w:rPr>
        <w:t>to ensure their accountability for deaths occurring under their responsibility</w:t>
      </w:r>
      <w:r w:rsidRPr="00D26C51">
        <w:rPr>
          <w:rStyle w:val="FootnoteReference"/>
          <w:rFonts w:cs="Arial"/>
          <w:szCs w:val="24"/>
        </w:rPr>
        <w:footnoteReference w:id="3"/>
      </w:r>
      <w:r w:rsidRPr="00D26C51">
        <w:rPr>
          <w:rFonts w:cs="Arial"/>
          <w:szCs w:val="24"/>
        </w:rPr>
        <w:t xml:space="preserve">.  Within those bounds, the Court has allowed flexibility as to the form of investigation.  </w:t>
      </w:r>
    </w:p>
    <w:p w:rsidR="00D54775" w:rsidRDefault="00D54775" w:rsidP="00D26C51">
      <w:pPr>
        <w:rPr>
          <w:rFonts w:cs="Arial"/>
          <w:szCs w:val="24"/>
        </w:rPr>
      </w:pPr>
    </w:p>
    <w:p w:rsidR="00D26C51" w:rsidRDefault="00D26C51" w:rsidP="00D26C51">
      <w:pPr>
        <w:rPr>
          <w:rFonts w:cs="Arial"/>
          <w:szCs w:val="24"/>
        </w:rPr>
      </w:pPr>
      <w:r w:rsidRPr="00D26C51">
        <w:rPr>
          <w:rFonts w:cs="Arial"/>
          <w:szCs w:val="24"/>
        </w:rPr>
        <w:t>There are, however, certain essential requirements</w:t>
      </w:r>
      <w:r>
        <w:rPr>
          <w:rFonts w:cs="Arial"/>
          <w:szCs w:val="24"/>
        </w:rPr>
        <w:t>:</w:t>
      </w:r>
    </w:p>
    <w:p w:rsidR="00D54775" w:rsidRDefault="00D54775" w:rsidP="00D26C51">
      <w:pPr>
        <w:rPr>
          <w:rFonts w:ascii="Verdana" w:hAnsi="Verdana"/>
          <w:sz w:val="19"/>
          <w:szCs w:val="19"/>
        </w:rPr>
      </w:pPr>
    </w:p>
    <w:p w:rsidR="00A376F3" w:rsidRDefault="00A376F3" w:rsidP="00A376F3">
      <w:pPr>
        <w:pStyle w:val="ListParagraph"/>
        <w:numPr>
          <w:ilvl w:val="0"/>
          <w:numId w:val="9"/>
        </w:numPr>
      </w:pPr>
      <w:r w:rsidRPr="00A376F3">
        <w:rPr>
          <w:b/>
        </w:rPr>
        <w:t>Independence</w:t>
      </w:r>
      <w:r>
        <w:t>: The investigation must be carried out by a body with both institutional or hierarchical and also practical independence from those implicated in the events</w:t>
      </w:r>
      <w:r>
        <w:rPr>
          <w:rStyle w:val="FootnoteReference"/>
        </w:rPr>
        <w:footnoteReference w:id="4"/>
      </w:r>
      <w:r w:rsidR="009E4177">
        <w:t>.</w:t>
      </w:r>
    </w:p>
    <w:p w:rsidR="00A376F3" w:rsidRDefault="00A376F3" w:rsidP="00D911BC">
      <w:pPr>
        <w:pStyle w:val="ListParagraph"/>
        <w:numPr>
          <w:ilvl w:val="0"/>
          <w:numId w:val="9"/>
        </w:numPr>
      </w:pPr>
      <w:r w:rsidRPr="00D911BC">
        <w:rPr>
          <w:b/>
        </w:rPr>
        <w:t>Effectiveness</w:t>
      </w:r>
      <w:r>
        <w:t xml:space="preserve">: The investigation must be effective in the sense that it is capable of leading to a determination as to whether or not the </w:t>
      </w:r>
      <w:r w:rsidR="00D911BC">
        <w:t>behaviour or inactivity</w:t>
      </w:r>
      <w:r>
        <w:t xml:space="preserve"> was justified </w:t>
      </w:r>
      <w:r w:rsidR="00D911BC">
        <w:t xml:space="preserve">and to the identification and punishment of those responsible.  The authorities must take reasonable steps to secure the evidence concerning the incident including, amongst other things, </w:t>
      </w:r>
      <w:r w:rsidR="00D911BC" w:rsidRPr="00D911BC">
        <w:t>eye witness testimony, forensic evidence and, where appropriate, an autopsy which provides a complete and accurate recor</w:t>
      </w:r>
      <w:r w:rsidR="00D911BC">
        <w:t>d of injury and an objective</w:t>
      </w:r>
      <w:r w:rsidR="00D911BC" w:rsidRPr="00D911BC">
        <w:t xml:space="preserve"> analysis of clinical findings, including the cause of death</w:t>
      </w:r>
      <w:r w:rsidR="00D911BC">
        <w:rPr>
          <w:rStyle w:val="FootnoteReference"/>
        </w:rPr>
        <w:footnoteReference w:id="5"/>
      </w:r>
      <w:r w:rsidR="00D911BC" w:rsidRPr="00D911BC">
        <w:t>.</w:t>
      </w:r>
    </w:p>
    <w:p w:rsidR="00D26C51" w:rsidRDefault="00D26C51" w:rsidP="00A376F3">
      <w:pPr>
        <w:pStyle w:val="ListParagraph"/>
        <w:numPr>
          <w:ilvl w:val="0"/>
          <w:numId w:val="9"/>
        </w:numPr>
      </w:pPr>
      <w:r w:rsidRPr="00D911BC">
        <w:rPr>
          <w:b/>
        </w:rPr>
        <w:t>Promptness and reasonable expedition</w:t>
      </w:r>
      <w:r w:rsidR="00E44CDE">
        <w:rPr>
          <w:rStyle w:val="FootnoteReference"/>
          <w:b/>
        </w:rPr>
        <w:footnoteReference w:id="6"/>
      </w:r>
      <w:r w:rsidR="00D911BC">
        <w:t xml:space="preserve"> </w:t>
      </w:r>
    </w:p>
    <w:p w:rsidR="00D26C51" w:rsidRDefault="00D26C51" w:rsidP="00D911BC">
      <w:pPr>
        <w:pStyle w:val="ListParagraph"/>
        <w:numPr>
          <w:ilvl w:val="0"/>
          <w:numId w:val="9"/>
        </w:numPr>
      </w:pPr>
      <w:r w:rsidRPr="00855983">
        <w:rPr>
          <w:b/>
        </w:rPr>
        <w:t>Public scrutiny</w:t>
      </w:r>
      <w:r w:rsidR="00D911BC">
        <w:t xml:space="preserve">: </w:t>
      </w:r>
      <w:r w:rsidR="00D911BC" w:rsidRPr="00D911BC">
        <w:t>there must be a sufficient element of public scrutiny of the investigation or its results to secure accountability in practice as well as in theory</w:t>
      </w:r>
      <w:r w:rsidR="004C3B59">
        <w:rPr>
          <w:rStyle w:val="FootnoteReference"/>
        </w:rPr>
        <w:footnoteReference w:id="7"/>
      </w:r>
      <w:r w:rsidR="004C3B59">
        <w:t>.</w:t>
      </w:r>
    </w:p>
    <w:p w:rsidR="00D26C51" w:rsidRDefault="00D26C51" w:rsidP="00A376F3">
      <w:pPr>
        <w:pStyle w:val="ListParagraph"/>
        <w:numPr>
          <w:ilvl w:val="0"/>
          <w:numId w:val="9"/>
        </w:numPr>
      </w:pPr>
      <w:r w:rsidRPr="00855983">
        <w:rPr>
          <w:b/>
        </w:rPr>
        <w:t>Involvement of next of kin</w:t>
      </w:r>
      <w:r w:rsidR="00855983">
        <w:t xml:space="preserve">: </w:t>
      </w:r>
      <w:r>
        <w:t xml:space="preserve"> </w:t>
      </w:r>
      <w:r w:rsidR="00855983">
        <w:t>The next of kin must be involved to the extent necessary to safeguard their legitimate interests</w:t>
      </w:r>
      <w:r w:rsidR="00855983">
        <w:rPr>
          <w:rStyle w:val="FootnoteReference"/>
        </w:rPr>
        <w:footnoteReference w:id="8"/>
      </w:r>
      <w:r w:rsidR="00855983">
        <w:t>.</w:t>
      </w:r>
    </w:p>
    <w:p w:rsidR="00D911BC" w:rsidRDefault="004C3B59" w:rsidP="00D911BC">
      <w:pPr>
        <w:pStyle w:val="ListParagraph"/>
        <w:numPr>
          <w:ilvl w:val="0"/>
          <w:numId w:val="9"/>
        </w:numPr>
      </w:pPr>
      <w:r w:rsidRPr="004C3B59">
        <w:rPr>
          <w:b/>
        </w:rPr>
        <w:t>Initiated by the State</w:t>
      </w:r>
      <w:r>
        <w:t>: The a</w:t>
      </w:r>
      <w:r w:rsidR="00D911BC">
        <w:t xml:space="preserve">uthorities must act once the matter comes to their attention rather than leaving it to </w:t>
      </w:r>
      <w:r>
        <w:t xml:space="preserve">the </w:t>
      </w:r>
      <w:r w:rsidR="00D911BC">
        <w:t>next of kin to instigate</w:t>
      </w:r>
      <w:r>
        <w:rPr>
          <w:rStyle w:val="FootnoteReference"/>
        </w:rPr>
        <w:footnoteReference w:id="9"/>
      </w:r>
      <w:r>
        <w:t>.</w:t>
      </w:r>
    </w:p>
    <w:p w:rsidR="00D26C51" w:rsidRDefault="00D26C51" w:rsidP="00D26C51">
      <w:pPr>
        <w:rPr>
          <w:rFonts w:ascii="Verdana" w:hAnsi="Verdana"/>
          <w:sz w:val="19"/>
          <w:szCs w:val="19"/>
        </w:rPr>
      </w:pPr>
    </w:p>
    <w:p w:rsidR="00D26C51" w:rsidRPr="00D26C51" w:rsidRDefault="00D26C51" w:rsidP="00D26C51">
      <w:pPr>
        <w:rPr>
          <w:rFonts w:ascii="Verdana" w:hAnsi="Verdana"/>
          <w:sz w:val="19"/>
          <w:szCs w:val="19"/>
        </w:rPr>
      </w:pPr>
    </w:p>
    <w:p w:rsidR="00D54775" w:rsidRDefault="00D54775" w:rsidP="00092062">
      <w:pPr>
        <w:rPr>
          <w:b/>
          <w:u w:val="single"/>
        </w:rPr>
      </w:pPr>
    </w:p>
    <w:p w:rsidR="00D54775" w:rsidRDefault="00D54775" w:rsidP="00092062">
      <w:pPr>
        <w:rPr>
          <w:b/>
          <w:u w:val="single"/>
        </w:rPr>
      </w:pPr>
    </w:p>
    <w:p w:rsidR="00D54775" w:rsidRDefault="00D54775" w:rsidP="00092062">
      <w:pPr>
        <w:rPr>
          <w:b/>
          <w:u w:val="single"/>
        </w:rPr>
      </w:pPr>
    </w:p>
    <w:p w:rsidR="00D54775" w:rsidRDefault="00D54775" w:rsidP="00092062">
      <w:pPr>
        <w:rPr>
          <w:b/>
          <w:u w:val="single"/>
        </w:rPr>
      </w:pPr>
    </w:p>
    <w:p w:rsidR="00D54775" w:rsidRDefault="00D54775" w:rsidP="00092062">
      <w:pPr>
        <w:rPr>
          <w:b/>
          <w:u w:val="single"/>
        </w:rPr>
      </w:pPr>
    </w:p>
    <w:p w:rsidR="00092062" w:rsidRPr="00084711" w:rsidRDefault="00092062" w:rsidP="00092062">
      <w:pPr>
        <w:rPr>
          <w:b/>
          <w:u w:val="single"/>
        </w:rPr>
      </w:pPr>
      <w:r w:rsidRPr="00084711">
        <w:rPr>
          <w:b/>
          <w:u w:val="single"/>
        </w:rPr>
        <w:lastRenderedPageBreak/>
        <w:t>Comments on Proposals</w:t>
      </w:r>
    </w:p>
    <w:p w:rsidR="00092062" w:rsidRDefault="00092062" w:rsidP="00092062">
      <w:pPr>
        <w:rPr>
          <w:b/>
        </w:rPr>
      </w:pPr>
    </w:p>
    <w:p w:rsidR="00DB529A" w:rsidRDefault="00092062" w:rsidP="00E36759">
      <w:pPr>
        <w:rPr>
          <w:b/>
        </w:rPr>
      </w:pPr>
      <w:r w:rsidRPr="00092062">
        <w:rPr>
          <w:b/>
        </w:rPr>
        <w:t>Chapter 2</w:t>
      </w:r>
      <w:r>
        <w:rPr>
          <w:b/>
        </w:rPr>
        <w:t xml:space="preserve"> – Mandatory categories of FAIs</w:t>
      </w:r>
    </w:p>
    <w:p w:rsidR="00D54775" w:rsidRPr="004C3B59" w:rsidRDefault="00D54775" w:rsidP="00E36759">
      <w:pPr>
        <w:rPr>
          <w:b/>
        </w:rPr>
      </w:pPr>
      <w:r w:rsidRPr="00F61667">
        <w:rPr>
          <w:b/>
        </w:rPr>
        <w:t>Question</w:t>
      </w:r>
      <w:r>
        <w:rPr>
          <w:b/>
        </w:rPr>
        <w:t>s</w:t>
      </w:r>
      <w:r w:rsidRPr="00F61667">
        <w:rPr>
          <w:b/>
        </w:rPr>
        <w:t xml:space="preserve"> 5a &amp; 5b</w:t>
      </w:r>
    </w:p>
    <w:p w:rsidR="00426B50" w:rsidRDefault="00426B50" w:rsidP="00E36759"/>
    <w:p w:rsidR="00DD564A" w:rsidRDefault="004C3B59" w:rsidP="00E36759">
      <w:r>
        <w:t>In considering when the p</w:t>
      </w:r>
      <w:r w:rsidR="009E4177">
        <w:t>rocedural</w:t>
      </w:r>
      <w:r>
        <w:t xml:space="preserve"> obligation of Article 2 arise</w:t>
      </w:r>
      <w:r w:rsidR="00D54775">
        <w:t>s</w:t>
      </w:r>
      <w:r>
        <w:t>, t</w:t>
      </w:r>
      <w:r w:rsidR="00426B50">
        <w:t>here is a particular obligation to provide explanations for deaths in custody</w:t>
      </w:r>
      <w:r w:rsidR="00DF1113">
        <w:t xml:space="preserve"> or detention</w:t>
      </w:r>
      <w:r w:rsidR="00DD564A">
        <w:t>, in recognition of the fact that people</w:t>
      </w:r>
      <w:r w:rsidR="00DD564A" w:rsidRPr="00DD564A">
        <w:t xml:space="preserve"> in custody are in a vulnerable position and the authorities are under a duty to protect them</w:t>
      </w:r>
      <w:r w:rsidR="00A22492">
        <w:rPr>
          <w:rStyle w:val="FootnoteReference"/>
        </w:rPr>
        <w:footnoteReference w:id="10"/>
      </w:r>
      <w:r w:rsidR="00D75390">
        <w:t>.</w:t>
      </w:r>
      <w:r w:rsidR="00271955">
        <w:t xml:space="preserve">  The Court has also recognised </w:t>
      </w:r>
      <w:r w:rsidR="00271955" w:rsidRPr="00271955">
        <w:t>that the position of inferiority and powerlessness which is typical of patients confined in psychiatric hospitals calls for increased vigilance in reviewing whether the Convention has been complied with</w:t>
      </w:r>
      <w:r w:rsidR="00271955">
        <w:rPr>
          <w:rStyle w:val="FootnoteReference"/>
        </w:rPr>
        <w:footnoteReference w:id="11"/>
      </w:r>
      <w:r w:rsidR="00271955" w:rsidRPr="00271955">
        <w:t>.</w:t>
      </w:r>
      <w:r w:rsidR="00271955">
        <w:t xml:space="preserve"> </w:t>
      </w:r>
    </w:p>
    <w:p w:rsidR="00937EEA" w:rsidRDefault="00937EEA" w:rsidP="00E36759"/>
    <w:p w:rsidR="00937EEA" w:rsidRDefault="00937EEA" w:rsidP="00E36759">
      <w:r>
        <w:t xml:space="preserve">In light of the Article 2 requirements, the Commission supports Lord Cullen’s recommendation that mandatory FAIs should extend to cases where the deceased is subject to compulsory detention by a public authority within the meaning of Section 6 of the Human Rights Act.  </w:t>
      </w:r>
    </w:p>
    <w:p w:rsidR="009B6EAB" w:rsidRDefault="009B6EAB" w:rsidP="00E36759"/>
    <w:p w:rsidR="0072200E" w:rsidRDefault="009B6EAB" w:rsidP="0072200E">
      <w:r>
        <w:t>The essential question is whether the options put forward adequately meet the standards set forth by the Court.  The Commission considers that the second option</w:t>
      </w:r>
      <w:r w:rsidR="0072200E">
        <w:t xml:space="preserve"> (at Question 5b) could comply with Article 2 requirements</w:t>
      </w:r>
      <w:r w:rsidR="00813039">
        <w:t xml:space="preserve"> if implemented in the following form</w:t>
      </w:r>
      <w:r w:rsidR="0072200E">
        <w:t xml:space="preserve">: an initial investigation by an independent public body to rule out deaths from natural causes; in all other circumstances, a mandatory FAI would be triggered.  The Commission considers this a reasonable proposal which could meet Article 2 requirements while providing a degree of flexibility as endorsed by the Court. </w:t>
      </w:r>
    </w:p>
    <w:p w:rsidR="0072200E" w:rsidRDefault="0072200E" w:rsidP="00E36759"/>
    <w:p w:rsidR="009B6EAB" w:rsidRDefault="0072200E" w:rsidP="00E36759">
      <w:r>
        <w:t>Under this proposal, t</w:t>
      </w:r>
      <w:r w:rsidR="009B6EAB">
        <w:t xml:space="preserve">he Commission considers that the following elements would be necessary in order to ensure </w:t>
      </w:r>
      <w:r w:rsidR="00AD523D">
        <w:t>Article 2</w:t>
      </w:r>
      <w:r w:rsidR="009B6EAB">
        <w:t xml:space="preserve"> requirements are met:</w:t>
      </w:r>
    </w:p>
    <w:p w:rsidR="009B6EAB" w:rsidRDefault="009B6EAB" w:rsidP="00E36759"/>
    <w:p w:rsidR="009B6EAB" w:rsidRPr="00F61667" w:rsidRDefault="009B6EAB" w:rsidP="009B6EAB">
      <w:pPr>
        <w:pStyle w:val="ListParagraph"/>
        <w:numPr>
          <w:ilvl w:val="0"/>
          <w:numId w:val="9"/>
        </w:numPr>
      </w:pPr>
      <w:r w:rsidRPr="00C96EC0">
        <w:rPr>
          <w:b/>
        </w:rPr>
        <w:t>Independence</w:t>
      </w:r>
      <w:r w:rsidRPr="00F61667">
        <w:t>:</w:t>
      </w:r>
      <w:r w:rsidR="00F61667">
        <w:t xml:space="preserve">  </w:t>
      </w:r>
      <w:r w:rsidR="0072200E">
        <w:t>The Commission notes that the Mental Welfare Commission (MWC) has proposed such a system</w:t>
      </w:r>
      <w:r w:rsidR="0072200E">
        <w:rPr>
          <w:rStyle w:val="FootnoteReference"/>
        </w:rPr>
        <w:footnoteReference w:id="12"/>
      </w:r>
      <w:r w:rsidR="0072200E">
        <w:t xml:space="preserve"> and we</w:t>
      </w:r>
      <w:r w:rsidR="00F61667">
        <w:t xml:space="preserve"> would support the MWC as an appropriate body to carry out an initial investigation.  The MWC appears to have the necessary degree of institutional and practical independence</w:t>
      </w:r>
      <w:r w:rsidR="00C96EC0">
        <w:t xml:space="preserve"> from the NHS and health boards</w:t>
      </w:r>
      <w:r w:rsidR="00F61667">
        <w:t>.</w:t>
      </w:r>
    </w:p>
    <w:p w:rsidR="009B6EAB" w:rsidRPr="00F61667" w:rsidRDefault="009B6EAB" w:rsidP="009B6EAB">
      <w:pPr>
        <w:pStyle w:val="ListParagraph"/>
        <w:numPr>
          <w:ilvl w:val="0"/>
          <w:numId w:val="9"/>
        </w:numPr>
      </w:pPr>
      <w:r w:rsidRPr="00C96EC0">
        <w:rPr>
          <w:b/>
        </w:rPr>
        <w:t>Effectiveness</w:t>
      </w:r>
      <w:r w:rsidRPr="00F61667">
        <w:t xml:space="preserve">: </w:t>
      </w:r>
      <w:r w:rsidR="00C96EC0">
        <w:t>Assuming</w:t>
      </w:r>
      <w:r w:rsidR="007A6D98">
        <w:t xml:space="preserve"> any new system of investigation is in addition to the MWC’s existing investigatory powers, consideration should be given as to whether the MWC will require</w:t>
      </w:r>
      <w:r w:rsidR="00AD523D">
        <w:t xml:space="preserve"> powers to </w:t>
      </w:r>
      <w:r w:rsidR="007A6D98">
        <w:t>aid their investigations</w:t>
      </w:r>
      <w:r w:rsidR="00D54775">
        <w:t>,</w:t>
      </w:r>
      <w:r w:rsidR="007A6D98">
        <w:t xml:space="preserve"> such as </w:t>
      </w:r>
      <w:r w:rsidR="00AD523D">
        <w:t>compel</w:t>
      </w:r>
      <w:r w:rsidR="00EB65AD">
        <w:t>ling witnesses and evidence gathering.</w:t>
      </w:r>
    </w:p>
    <w:p w:rsidR="009B6EAB" w:rsidRPr="00C96EC0" w:rsidRDefault="009B6EAB" w:rsidP="009B6EAB">
      <w:pPr>
        <w:pStyle w:val="ListParagraph"/>
        <w:numPr>
          <w:ilvl w:val="0"/>
          <w:numId w:val="9"/>
        </w:numPr>
        <w:rPr>
          <w:b/>
        </w:rPr>
      </w:pPr>
      <w:r w:rsidRPr="00C96EC0">
        <w:rPr>
          <w:b/>
        </w:rPr>
        <w:t xml:space="preserve">Promptness and reasonable expedition </w:t>
      </w:r>
    </w:p>
    <w:p w:rsidR="009B6EAB" w:rsidRPr="00F61667" w:rsidRDefault="009B6EAB" w:rsidP="009B6EAB">
      <w:pPr>
        <w:pStyle w:val="ListParagraph"/>
        <w:numPr>
          <w:ilvl w:val="0"/>
          <w:numId w:val="9"/>
        </w:numPr>
      </w:pPr>
      <w:r w:rsidRPr="00C96EC0">
        <w:rPr>
          <w:b/>
        </w:rPr>
        <w:t>Public scrutiny</w:t>
      </w:r>
      <w:r w:rsidRPr="00F61667">
        <w:t xml:space="preserve">: </w:t>
      </w:r>
      <w:r w:rsidR="00C96EC0">
        <w:t>P</w:t>
      </w:r>
      <w:r w:rsidR="007A6D98">
        <w:t>ublication of reports of MWC inquiries could provide the necessary degree of scrutiny.</w:t>
      </w:r>
    </w:p>
    <w:p w:rsidR="009B6EAB" w:rsidRPr="00F61667" w:rsidRDefault="009B6EAB" w:rsidP="009B6EAB">
      <w:pPr>
        <w:pStyle w:val="ListParagraph"/>
        <w:numPr>
          <w:ilvl w:val="0"/>
          <w:numId w:val="9"/>
        </w:numPr>
      </w:pPr>
      <w:r w:rsidRPr="00C96EC0">
        <w:rPr>
          <w:b/>
        </w:rPr>
        <w:t>Involvement of next of kin</w:t>
      </w:r>
      <w:r w:rsidRPr="00F61667">
        <w:t xml:space="preserve">:  </w:t>
      </w:r>
      <w:r w:rsidR="007A6D98">
        <w:t>Relatives and carers of the deceased must be involved with the investigation.</w:t>
      </w:r>
    </w:p>
    <w:p w:rsidR="009B6EAB" w:rsidRPr="00C96EC0" w:rsidRDefault="007A6D98" w:rsidP="00E36759">
      <w:pPr>
        <w:pStyle w:val="ListParagraph"/>
        <w:numPr>
          <w:ilvl w:val="0"/>
          <w:numId w:val="9"/>
        </w:numPr>
        <w:rPr>
          <w:b/>
        </w:rPr>
      </w:pPr>
      <w:r w:rsidRPr="00C96EC0">
        <w:rPr>
          <w:b/>
        </w:rPr>
        <w:t>Initiated by the State</w:t>
      </w:r>
      <w:r w:rsidR="009B6EAB" w:rsidRPr="00C96EC0">
        <w:rPr>
          <w:b/>
        </w:rPr>
        <w:t xml:space="preserve"> </w:t>
      </w:r>
    </w:p>
    <w:p w:rsidR="00664F8E" w:rsidRDefault="00664F8E" w:rsidP="00EB65AD">
      <w:pPr>
        <w:pStyle w:val="ListParagraph"/>
      </w:pPr>
    </w:p>
    <w:p w:rsidR="001338E5" w:rsidRDefault="00E42E89" w:rsidP="00E36759">
      <w:r>
        <w:t>The Commission notes that the MWC has raised the question of whether individuals subject to community-based compulsory treatment orders, suspension of detention and welfare guardianship orders may also fall within the definition of compulsory detention</w:t>
      </w:r>
      <w:r w:rsidR="00084711">
        <w:rPr>
          <w:rStyle w:val="FootnoteReference"/>
        </w:rPr>
        <w:footnoteReference w:id="13"/>
      </w:r>
      <w:r>
        <w:t xml:space="preserve">.  The Commission </w:t>
      </w:r>
      <w:r w:rsidR="00AD523D">
        <w:t>recommend</w:t>
      </w:r>
      <w:r>
        <w:t>s that further</w:t>
      </w:r>
      <w:r w:rsidR="00AD523D">
        <w:t xml:space="preserve"> consideration be given to </w:t>
      </w:r>
      <w:r>
        <w:t>this point.  While we recognise that a large number of individuals subject to these measures would not be regarded as in</w:t>
      </w:r>
      <w:r w:rsidR="00084711">
        <w:t xml:space="preserve"> the</w:t>
      </w:r>
      <w:r>
        <w:t xml:space="preserve"> custody of the state, there may still be a significant number who reside in specified accommodation and care arrangements against their will, as a consequence of such orders</w:t>
      </w:r>
      <w:r w:rsidR="00AD523D">
        <w:t xml:space="preserve">.  </w:t>
      </w:r>
      <w:r>
        <w:t>Those individuals should be afforded the same protections as those in the custody of the state in a hospital setting.</w:t>
      </w:r>
    </w:p>
    <w:p w:rsidR="00E00D4F" w:rsidRDefault="00E00D4F" w:rsidP="00E36759"/>
    <w:p w:rsidR="00C96EC0" w:rsidRDefault="00C96EC0" w:rsidP="00E36759"/>
    <w:p w:rsidR="00EF1D9F" w:rsidRDefault="00EF1D9F" w:rsidP="00E36759">
      <w:r>
        <w:t>End.</w:t>
      </w:r>
    </w:p>
    <w:p w:rsidR="00C96EC0" w:rsidRDefault="00C96EC0" w:rsidP="00E36759"/>
    <w:p w:rsidR="00C96EC0" w:rsidRDefault="00C96EC0" w:rsidP="00E36759"/>
    <w:p w:rsidR="00C96EC0" w:rsidRDefault="00C96EC0" w:rsidP="00C96EC0"/>
    <w:p w:rsidR="00C96EC0" w:rsidRDefault="00C96EC0" w:rsidP="00E36759"/>
    <w:sectPr w:rsidR="00C96EC0" w:rsidSect="00AB54FF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C7" w:rsidRDefault="00C30BC7">
      <w:pPr>
        <w:spacing w:line="240" w:lineRule="auto"/>
      </w:pPr>
      <w:r>
        <w:separator/>
      </w:r>
    </w:p>
  </w:endnote>
  <w:endnote w:type="continuationSeparator" w:id="0">
    <w:p w:rsidR="00C30BC7" w:rsidRDefault="00C30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84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4775" w:rsidRDefault="00D547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0BC7" w:rsidRPr="0067486A" w:rsidRDefault="00C30BC7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C7" w:rsidRDefault="00C30BC7">
      <w:pPr>
        <w:spacing w:line="240" w:lineRule="auto"/>
      </w:pPr>
      <w:r>
        <w:separator/>
      </w:r>
    </w:p>
  </w:footnote>
  <w:footnote w:type="continuationSeparator" w:id="0">
    <w:p w:rsidR="00C30BC7" w:rsidRDefault="00C30BC7">
      <w:pPr>
        <w:spacing w:line="240" w:lineRule="auto"/>
      </w:pPr>
      <w:r>
        <w:continuationSeparator/>
      </w:r>
    </w:p>
  </w:footnote>
  <w:footnote w:id="1">
    <w:p w:rsidR="00C30BC7" w:rsidRDefault="00C30BC7" w:rsidP="009E4177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See SHRC’s “Submission to the United Nations Human Rights Committee: List of issues on the United Kingdom’s 7th periodic report under the International Covenant on Civil and Political Rights” (July 2014) </w:t>
      </w:r>
      <w:hyperlink r:id="rId1" w:history="1">
        <w:r w:rsidRPr="001C7D70">
          <w:rPr>
            <w:rStyle w:val="Hyperlink"/>
          </w:rPr>
          <w:t>http://www.scottishhumanrights.com/publications/consultationresponses/article/iccprjuly14</w:t>
        </w:r>
      </w:hyperlink>
      <w:r>
        <w:t xml:space="preserve"> and “Consultation on draft proposals for a Mental Health (Scotland) Bill, Response to Scottish Government Consultation” (March 2014)</w:t>
      </w:r>
    </w:p>
    <w:p w:rsidR="00C30BC7" w:rsidRDefault="001602E7" w:rsidP="009E4177">
      <w:pPr>
        <w:pStyle w:val="FootnoteText"/>
        <w:jc w:val="left"/>
      </w:pPr>
      <w:hyperlink r:id="rId2" w:history="1">
        <w:r w:rsidR="00C30BC7">
          <w:rPr>
            <w:rStyle w:val="Hyperlink"/>
          </w:rPr>
          <w:t>http://www.scottishhumanrights.com/publications/consultationresponses/article/submissiondraftmentalhealthbill</w:t>
        </w:r>
      </w:hyperlink>
    </w:p>
    <w:p w:rsidR="00C30BC7" w:rsidRDefault="00C30BC7" w:rsidP="009E4177">
      <w:pPr>
        <w:pStyle w:val="FootnoteText"/>
        <w:jc w:val="left"/>
      </w:pPr>
    </w:p>
  </w:footnote>
  <w:footnote w:id="2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458F">
        <w:rPr>
          <w:rFonts w:cs="Arial"/>
          <w:i/>
        </w:rPr>
        <w:t>Ö</w:t>
      </w:r>
      <w:r w:rsidRPr="00C9458F">
        <w:rPr>
          <w:i/>
        </w:rPr>
        <w:t>neryildiz v Turkey</w:t>
      </w:r>
      <w:r>
        <w:t xml:space="preserve"> </w:t>
      </w:r>
      <w:r w:rsidRPr="00C9458F">
        <w:t>(2005) 41 E.H.R.R. 20</w:t>
      </w:r>
      <w:r>
        <w:t xml:space="preserve"> at para 91</w:t>
      </w:r>
    </w:p>
  </w:footnote>
  <w:footnote w:id="3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6C51">
        <w:rPr>
          <w:i/>
        </w:rPr>
        <w:t>Jordan v United Kingdom</w:t>
      </w:r>
      <w:r>
        <w:t xml:space="preserve"> </w:t>
      </w:r>
      <w:r w:rsidRPr="00D26C51">
        <w:t>(2003) 37 E.H.R.R. 2</w:t>
      </w:r>
      <w:r>
        <w:t xml:space="preserve"> at para 105</w:t>
      </w:r>
    </w:p>
  </w:footnote>
  <w:footnote w:id="4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5983">
        <w:rPr>
          <w:i/>
        </w:rPr>
        <w:t>McKerr v United Kingdom</w:t>
      </w:r>
      <w:r>
        <w:t xml:space="preserve"> </w:t>
      </w:r>
      <w:r w:rsidRPr="00855983">
        <w:t>(2002) 34 E.H.R.R. 20</w:t>
      </w:r>
    </w:p>
  </w:footnote>
  <w:footnote w:id="5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4CDE">
        <w:rPr>
          <w:i/>
        </w:rPr>
        <w:t>Nachova v</w:t>
      </w:r>
      <w:r>
        <w:t xml:space="preserve"> Bulgaria </w:t>
      </w:r>
      <w:r w:rsidRPr="00E44CDE">
        <w:t>(2006) 42 E.H.R.R. 43</w:t>
      </w:r>
    </w:p>
  </w:footnote>
  <w:footnote w:id="6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4CDE">
        <w:rPr>
          <w:i/>
        </w:rPr>
        <w:t>McKerr</w:t>
      </w:r>
      <w:r>
        <w:t>, supra at footnote 3</w:t>
      </w:r>
    </w:p>
  </w:footnote>
  <w:footnote w:id="7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  <w:footnote w:id="8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5983">
        <w:rPr>
          <w:i/>
        </w:rPr>
        <w:t>G</w:t>
      </w:r>
      <w:r w:rsidRPr="00855983">
        <w:rPr>
          <w:rFonts w:cs="Arial"/>
          <w:i/>
        </w:rPr>
        <w:t>ü</w:t>
      </w:r>
      <w:r w:rsidRPr="00855983">
        <w:rPr>
          <w:i/>
        </w:rPr>
        <w:t>le</w:t>
      </w:r>
      <w:r w:rsidRPr="00855983">
        <w:rPr>
          <w:rFonts w:cs="Arial"/>
          <w:i/>
        </w:rPr>
        <w:t>ç</w:t>
      </w:r>
      <w:r w:rsidRPr="00855983">
        <w:rPr>
          <w:i/>
        </w:rPr>
        <w:t xml:space="preserve"> v Turkey</w:t>
      </w:r>
      <w:r>
        <w:t xml:space="preserve"> </w:t>
      </w:r>
      <w:r w:rsidRPr="00855983">
        <w:t>(1999) 28 E.H.R.R. 121</w:t>
      </w:r>
    </w:p>
  </w:footnote>
  <w:footnote w:id="9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3B59">
        <w:rPr>
          <w:i/>
        </w:rPr>
        <w:t>Ilhan v Turkey</w:t>
      </w:r>
      <w:r>
        <w:t xml:space="preserve"> </w:t>
      </w:r>
      <w:r w:rsidRPr="004C3B59">
        <w:t>(2002) 34 E.H.R.R. 36</w:t>
      </w:r>
    </w:p>
  </w:footnote>
  <w:footnote w:id="10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2492">
        <w:rPr>
          <w:i/>
        </w:rPr>
        <w:t>Salman v Turkey</w:t>
      </w:r>
      <w:r>
        <w:t xml:space="preserve"> </w:t>
      </w:r>
      <w:r w:rsidRPr="00A22492">
        <w:t>(2002) 34 E.H.R.R. 17</w:t>
      </w:r>
    </w:p>
  </w:footnote>
  <w:footnote w:id="11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1955">
        <w:rPr>
          <w:i/>
        </w:rPr>
        <w:t>Herczegfalvy v Austria</w:t>
      </w:r>
      <w:r>
        <w:t xml:space="preserve"> </w:t>
      </w:r>
      <w:r w:rsidRPr="00271955">
        <w:t>(1993) 15 E.H.R.R. 437</w:t>
      </w:r>
      <w:r>
        <w:t xml:space="preserve"> at para 82</w:t>
      </w:r>
    </w:p>
  </w:footnote>
  <w:footnote w:id="12">
    <w:p w:rsidR="0072200E" w:rsidRDefault="0072200E" w:rsidP="007220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C53C8">
        <w:rPr>
          <w:rFonts w:cs="Arial"/>
        </w:rPr>
        <w:t xml:space="preserve">see H </w:t>
      </w:r>
      <w:r w:rsidRPr="009C53C8">
        <w:rPr>
          <w:rFonts w:cs="Arial"/>
          <w:color w:val="000000"/>
        </w:rPr>
        <w:t>Patrick, J Stavert and J Malcolm "The right to life, and to proper inquiries on death: A human rights perspective on the investigation of deaths of psychiatric patients in Scotland" (2012) 1</w:t>
      </w:r>
      <w:r w:rsidRPr="009C53C8">
        <w:rPr>
          <w:rStyle w:val="apple-converted-space"/>
          <w:rFonts w:cs="Arial"/>
          <w:color w:val="000000"/>
        </w:rPr>
        <w:t> </w:t>
      </w:r>
      <w:r w:rsidRPr="009C53C8">
        <w:rPr>
          <w:rStyle w:val="Emphasis"/>
          <w:rFonts w:cs="Arial"/>
          <w:color w:val="000000"/>
        </w:rPr>
        <w:t>Juridical Review</w:t>
      </w:r>
      <w:r w:rsidRPr="009C53C8">
        <w:rPr>
          <w:rStyle w:val="apple-converted-space"/>
          <w:rFonts w:cs="Arial"/>
          <w:i/>
          <w:iCs/>
          <w:color w:val="000000"/>
        </w:rPr>
        <w:t> </w:t>
      </w:r>
      <w:r w:rsidRPr="009C53C8">
        <w:rPr>
          <w:rFonts w:cs="Arial"/>
          <w:color w:val="000000"/>
        </w:rPr>
        <w:t>51</w:t>
      </w:r>
    </w:p>
  </w:footnote>
  <w:footnote w:id="13">
    <w:p w:rsidR="00C30BC7" w:rsidRDefault="00C30BC7">
      <w:pPr>
        <w:pStyle w:val="FootnoteText"/>
      </w:pPr>
      <w:r>
        <w:rPr>
          <w:rStyle w:val="FootnoteReference"/>
        </w:rPr>
        <w:footnoteRef/>
      </w:r>
      <w:r>
        <w:t xml:space="preserve"> “Death in Detention Monitoring”, Mental Welfare Commission (March 2014)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C7" w:rsidRPr="0067486A" w:rsidRDefault="00C30BC7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69363D9"/>
    <w:multiLevelType w:val="hybridMultilevel"/>
    <w:tmpl w:val="7EBC8658"/>
    <w:lvl w:ilvl="0" w:tplc="0F020E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15089"/>
    <w:multiLevelType w:val="hybridMultilevel"/>
    <w:tmpl w:val="A136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06522"/>
    <w:multiLevelType w:val="hybridMultilevel"/>
    <w:tmpl w:val="473C1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13DA7"/>
    <w:multiLevelType w:val="hybridMultilevel"/>
    <w:tmpl w:val="D44C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4F"/>
    <w:rsid w:val="00026239"/>
    <w:rsid w:val="00084711"/>
    <w:rsid w:val="00090B11"/>
    <w:rsid w:val="00092062"/>
    <w:rsid w:val="00100021"/>
    <w:rsid w:val="001267F7"/>
    <w:rsid w:val="001338E5"/>
    <w:rsid w:val="00157346"/>
    <w:rsid w:val="001602E7"/>
    <w:rsid w:val="00192DC7"/>
    <w:rsid w:val="001E3E01"/>
    <w:rsid w:val="00271955"/>
    <w:rsid w:val="002D13AD"/>
    <w:rsid w:val="002F3688"/>
    <w:rsid w:val="003B0377"/>
    <w:rsid w:val="003F2479"/>
    <w:rsid w:val="00411FC4"/>
    <w:rsid w:val="00426B50"/>
    <w:rsid w:val="004B7E25"/>
    <w:rsid w:val="004C3B59"/>
    <w:rsid w:val="0055418A"/>
    <w:rsid w:val="005A2463"/>
    <w:rsid w:val="00664F8E"/>
    <w:rsid w:val="0067486A"/>
    <w:rsid w:val="006D26F7"/>
    <w:rsid w:val="006D353E"/>
    <w:rsid w:val="0072200E"/>
    <w:rsid w:val="007A6D98"/>
    <w:rsid w:val="00813039"/>
    <w:rsid w:val="00855983"/>
    <w:rsid w:val="008D069C"/>
    <w:rsid w:val="008E54D8"/>
    <w:rsid w:val="00926CCC"/>
    <w:rsid w:val="00937EEA"/>
    <w:rsid w:val="00952710"/>
    <w:rsid w:val="009B6EAB"/>
    <w:rsid w:val="009E4177"/>
    <w:rsid w:val="009F71B8"/>
    <w:rsid w:val="00A22492"/>
    <w:rsid w:val="00A376F3"/>
    <w:rsid w:val="00A56EBA"/>
    <w:rsid w:val="00A90A53"/>
    <w:rsid w:val="00AB54FF"/>
    <w:rsid w:val="00AC310B"/>
    <w:rsid w:val="00AD523D"/>
    <w:rsid w:val="00AE01CB"/>
    <w:rsid w:val="00C30BC7"/>
    <w:rsid w:val="00C7392C"/>
    <w:rsid w:val="00C86FBA"/>
    <w:rsid w:val="00C9458F"/>
    <w:rsid w:val="00C96EC0"/>
    <w:rsid w:val="00D04FB9"/>
    <w:rsid w:val="00D26C51"/>
    <w:rsid w:val="00D54775"/>
    <w:rsid w:val="00D75390"/>
    <w:rsid w:val="00D911BC"/>
    <w:rsid w:val="00DB529A"/>
    <w:rsid w:val="00DD564A"/>
    <w:rsid w:val="00DF1113"/>
    <w:rsid w:val="00E00D4F"/>
    <w:rsid w:val="00E3599D"/>
    <w:rsid w:val="00E36759"/>
    <w:rsid w:val="00E42E89"/>
    <w:rsid w:val="00E44CDE"/>
    <w:rsid w:val="00EB65AD"/>
    <w:rsid w:val="00EF1D9F"/>
    <w:rsid w:val="00F61667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64F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458F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58F"/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458F"/>
    <w:rPr>
      <w:vertAlign w:val="superscript"/>
    </w:rPr>
  </w:style>
  <w:style w:type="character" w:styleId="Emphasis">
    <w:name w:val="Emphasis"/>
    <w:uiPriority w:val="20"/>
    <w:qFormat/>
    <w:rsid w:val="00EB65AD"/>
    <w:rPr>
      <w:i/>
      <w:iCs/>
    </w:rPr>
  </w:style>
  <w:style w:type="character" w:customStyle="1" w:styleId="apple-converted-space">
    <w:name w:val="apple-converted-space"/>
    <w:rsid w:val="00EB65AD"/>
  </w:style>
  <w:style w:type="paragraph" w:styleId="BalloonText">
    <w:name w:val="Balloon Text"/>
    <w:basedOn w:val="Normal"/>
    <w:link w:val="BalloonTextChar"/>
    <w:uiPriority w:val="99"/>
    <w:semiHidden/>
    <w:unhideWhenUsed/>
    <w:rsid w:val="00E42E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8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9E417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5477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64F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458F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58F"/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458F"/>
    <w:rPr>
      <w:vertAlign w:val="superscript"/>
    </w:rPr>
  </w:style>
  <w:style w:type="character" w:styleId="Emphasis">
    <w:name w:val="Emphasis"/>
    <w:uiPriority w:val="20"/>
    <w:qFormat/>
    <w:rsid w:val="00EB65AD"/>
    <w:rPr>
      <w:i/>
      <w:iCs/>
    </w:rPr>
  </w:style>
  <w:style w:type="character" w:customStyle="1" w:styleId="apple-converted-space">
    <w:name w:val="apple-converted-space"/>
    <w:rsid w:val="00EB65AD"/>
  </w:style>
  <w:style w:type="paragraph" w:styleId="BalloonText">
    <w:name w:val="Balloon Text"/>
    <w:basedOn w:val="Normal"/>
    <w:link w:val="BalloonTextChar"/>
    <w:uiPriority w:val="99"/>
    <w:semiHidden/>
    <w:unhideWhenUsed/>
    <w:rsid w:val="00E42E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8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9E417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5477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scottishhumanrights.com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ottishhumanrights.com/publications/consultationresponses/article/submissiondraftmentalhealthbill" TargetMode="External"/><Relationship Id="rId1" Type="http://schemas.openxmlformats.org/officeDocument/2006/relationships/hyperlink" Target="http://www.scottishhumanrights.com/publications/consultationresponses/article/iccprjuly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207F-EC85-45D5-9251-F9209155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6219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N320069</dc:creator>
  <cp:lastModifiedBy>n320070</cp:lastModifiedBy>
  <cp:revision>2</cp:revision>
  <dcterms:created xsi:type="dcterms:W3CDTF">2014-09-15T15:43:00Z</dcterms:created>
  <dcterms:modified xsi:type="dcterms:W3CDTF">2014-09-15T15:43:00Z</dcterms:modified>
</cp:coreProperties>
</file>