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248" w:rsidRDefault="00510248" w:rsidP="00510248">
      <w:bookmarkStart w:id="0" w:name="_GoBack"/>
      <w:bookmarkEnd w:id="0"/>
      <w:r>
        <w:rPr>
          <w:noProof/>
          <w:lang w:eastAsia="en-GB"/>
        </w:rPr>
        <w:drawing>
          <wp:inline distT="0" distB="0" distL="0" distR="0" wp14:anchorId="74C47662">
            <wp:extent cx="1969135" cy="993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9135" cy="993775"/>
                    </a:xfrm>
                    <a:prstGeom prst="rect">
                      <a:avLst/>
                    </a:prstGeom>
                    <a:noFill/>
                  </pic:spPr>
                </pic:pic>
              </a:graphicData>
            </a:graphic>
          </wp:inline>
        </w:drawing>
      </w:r>
    </w:p>
    <w:p w:rsidR="00510248" w:rsidRPr="00510248" w:rsidRDefault="00510248" w:rsidP="00510248">
      <w:pPr>
        <w:jc w:val="center"/>
      </w:pPr>
    </w:p>
    <w:p w:rsidR="00510248" w:rsidRPr="00510248" w:rsidRDefault="00510248" w:rsidP="00510248">
      <w:pPr>
        <w:jc w:val="center"/>
        <w:rPr>
          <w:b/>
        </w:rPr>
      </w:pPr>
      <w:r w:rsidRPr="00510248">
        <w:rPr>
          <w:b/>
        </w:rPr>
        <w:t>The Scottish Human Rights Commission</w:t>
      </w:r>
    </w:p>
    <w:p w:rsidR="00510248" w:rsidRPr="00510248" w:rsidRDefault="00510248" w:rsidP="00510248">
      <w:pPr>
        <w:jc w:val="center"/>
      </w:pPr>
    </w:p>
    <w:p w:rsidR="00510248" w:rsidRDefault="00510248" w:rsidP="00510248">
      <w:pPr>
        <w:jc w:val="center"/>
        <w:rPr>
          <w:b/>
        </w:rPr>
      </w:pPr>
      <w:r w:rsidRPr="00510248">
        <w:rPr>
          <w:b/>
        </w:rPr>
        <w:t>Submission to the Scottish Government</w:t>
      </w:r>
    </w:p>
    <w:p w:rsidR="00510248" w:rsidRDefault="00510248" w:rsidP="00510248">
      <w:pPr>
        <w:jc w:val="center"/>
        <w:rPr>
          <w:b/>
        </w:rPr>
      </w:pPr>
    </w:p>
    <w:p w:rsidR="00510248" w:rsidRDefault="00510248" w:rsidP="00510248">
      <w:pPr>
        <w:jc w:val="center"/>
        <w:rPr>
          <w:b/>
        </w:rPr>
      </w:pPr>
      <w:r>
        <w:rPr>
          <w:b/>
        </w:rPr>
        <w:t>25 July 2014</w:t>
      </w:r>
    </w:p>
    <w:p w:rsidR="00510248" w:rsidRPr="00510248" w:rsidRDefault="00510248" w:rsidP="00510248">
      <w:pPr>
        <w:jc w:val="center"/>
        <w:rPr>
          <w:b/>
        </w:rPr>
      </w:pPr>
    </w:p>
    <w:p w:rsidR="00510248" w:rsidRDefault="00510248" w:rsidP="00510248"/>
    <w:p w:rsidR="00510248" w:rsidRPr="001E5815" w:rsidRDefault="002C1F2D" w:rsidP="002C1F2D">
      <w:pPr>
        <w:rPr>
          <w:rFonts w:ascii="Arial Narrow" w:hAnsi="Arial Narrow"/>
          <w:szCs w:val="24"/>
        </w:rPr>
      </w:pPr>
      <w:r w:rsidRPr="001E5815">
        <w:rPr>
          <w:rFonts w:ascii="Arial Narrow" w:hAnsi="Arial Narrow"/>
          <w:szCs w:val="24"/>
        </w:rPr>
        <w:t>Fiona Howe</w:t>
      </w:r>
    </w:p>
    <w:p w:rsidR="002C1F2D" w:rsidRPr="001E5815" w:rsidRDefault="002C1F2D" w:rsidP="002C1F2D">
      <w:pPr>
        <w:jc w:val="left"/>
        <w:rPr>
          <w:rFonts w:ascii="Arial Narrow" w:hAnsi="Arial Narrow" w:cs="Arial"/>
          <w:szCs w:val="24"/>
          <w:lang w:eastAsia="en-GB"/>
        </w:rPr>
      </w:pPr>
      <w:r w:rsidRPr="001E5815">
        <w:rPr>
          <w:rFonts w:ascii="Arial Narrow" w:hAnsi="Arial Narrow" w:cs="Arial"/>
          <w:szCs w:val="24"/>
          <w:lang w:eastAsia="en-GB"/>
        </w:rPr>
        <w:t>Criminal Procedure (</w:t>
      </w:r>
      <w:proofErr w:type="spellStart"/>
      <w:r w:rsidRPr="001E5815">
        <w:rPr>
          <w:rFonts w:ascii="Arial Narrow" w:hAnsi="Arial Narrow" w:cs="Arial"/>
          <w:szCs w:val="24"/>
          <w:lang w:eastAsia="en-GB"/>
        </w:rPr>
        <w:t>GW14</w:t>
      </w:r>
      <w:proofErr w:type="spellEnd"/>
      <w:r w:rsidRPr="001E5815">
        <w:rPr>
          <w:rFonts w:ascii="Arial Narrow" w:hAnsi="Arial Narrow" w:cs="Arial"/>
          <w:szCs w:val="24"/>
          <w:lang w:eastAsia="en-GB"/>
        </w:rPr>
        <w:t>)</w:t>
      </w:r>
      <w:r w:rsidRPr="001E5815">
        <w:rPr>
          <w:rFonts w:ascii="Arial Narrow" w:hAnsi="Arial Narrow"/>
          <w:szCs w:val="24"/>
          <w:lang w:eastAsia="en-GB"/>
        </w:rPr>
        <w:t xml:space="preserve"> </w:t>
      </w:r>
      <w:r w:rsidRPr="001E5815">
        <w:rPr>
          <w:rFonts w:ascii="Arial Narrow" w:hAnsi="Arial Narrow"/>
          <w:szCs w:val="24"/>
          <w:lang w:eastAsia="en-GB"/>
        </w:rPr>
        <w:br/>
      </w:r>
      <w:r w:rsidRPr="001E5815">
        <w:rPr>
          <w:rFonts w:ascii="Arial Narrow" w:hAnsi="Arial Narrow" w:cs="Arial"/>
          <w:szCs w:val="24"/>
          <w:lang w:eastAsia="en-GB"/>
        </w:rPr>
        <w:t>Scottish Government</w:t>
      </w:r>
      <w:r w:rsidRPr="001E5815">
        <w:rPr>
          <w:rFonts w:ascii="Arial Narrow" w:hAnsi="Arial Narrow"/>
          <w:szCs w:val="24"/>
          <w:lang w:eastAsia="en-GB"/>
        </w:rPr>
        <w:t xml:space="preserve"> </w:t>
      </w:r>
      <w:r w:rsidRPr="001E5815">
        <w:rPr>
          <w:rFonts w:ascii="Arial Narrow" w:hAnsi="Arial Narrow"/>
          <w:szCs w:val="24"/>
          <w:lang w:eastAsia="en-GB"/>
        </w:rPr>
        <w:br/>
      </w:r>
      <w:r w:rsidRPr="001E5815">
        <w:rPr>
          <w:rFonts w:ascii="Arial Narrow" w:hAnsi="Arial Narrow" w:cs="Arial"/>
          <w:szCs w:val="24"/>
          <w:lang w:eastAsia="en-GB"/>
        </w:rPr>
        <w:t xml:space="preserve">St Andrew’s House </w:t>
      </w:r>
      <w:r w:rsidRPr="001E5815">
        <w:rPr>
          <w:rFonts w:ascii="Arial Narrow" w:hAnsi="Arial Narrow"/>
          <w:szCs w:val="24"/>
          <w:lang w:eastAsia="en-GB"/>
        </w:rPr>
        <w:br/>
      </w:r>
      <w:r w:rsidRPr="001E5815">
        <w:rPr>
          <w:rFonts w:ascii="Arial Narrow" w:hAnsi="Arial Narrow" w:cs="Arial"/>
          <w:szCs w:val="24"/>
          <w:lang w:eastAsia="en-GB"/>
        </w:rPr>
        <w:t>Regent Road</w:t>
      </w:r>
      <w:r w:rsidRPr="001E5815">
        <w:rPr>
          <w:rFonts w:ascii="Arial Narrow" w:hAnsi="Arial Narrow"/>
          <w:szCs w:val="24"/>
          <w:lang w:eastAsia="en-GB"/>
        </w:rPr>
        <w:t xml:space="preserve"> </w:t>
      </w:r>
      <w:r w:rsidRPr="001E5815">
        <w:rPr>
          <w:rFonts w:ascii="Arial Narrow" w:hAnsi="Arial Narrow"/>
          <w:szCs w:val="24"/>
          <w:lang w:eastAsia="en-GB"/>
        </w:rPr>
        <w:br/>
      </w:r>
      <w:r w:rsidRPr="001E5815">
        <w:rPr>
          <w:rFonts w:ascii="Arial Narrow" w:hAnsi="Arial Narrow" w:cs="Arial"/>
          <w:szCs w:val="24"/>
          <w:lang w:eastAsia="en-GB"/>
        </w:rPr>
        <w:t>Edinburgh</w:t>
      </w:r>
      <w:r w:rsidRPr="001E5815">
        <w:rPr>
          <w:rFonts w:ascii="Arial Narrow" w:hAnsi="Arial Narrow"/>
          <w:szCs w:val="24"/>
          <w:lang w:eastAsia="en-GB"/>
        </w:rPr>
        <w:t xml:space="preserve"> </w:t>
      </w:r>
      <w:r w:rsidRPr="001E5815">
        <w:rPr>
          <w:rFonts w:ascii="Arial Narrow" w:hAnsi="Arial Narrow"/>
          <w:szCs w:val="24"/>
          <w:lang w:eastAsia="en-GB"/>
        </w:rPr>
        <w:br/>
      </w:r>
      <w:proofErr w:type="spellStart"/>
      <w:r w:rsidRPr="001E5815">
        <w:rPr>
          <w:rFonts w:ascii="Arial Narrow" w:hAnsi="Arial Narrow" w:cs="Arial"/>
          <w:szCs w:val="24"/>
          <w:lang w:eastAsia="en-GB"/>
        </w:rPr>
        <w:t>EH1</w:t>
      </w:r>
      <w:proofErr w:type="spellEnd"/>
      <w:r w:rsidRPr="001E5815">
        <w:rPr>
          <w:rFonts w:ascii="Arial Narrow" w:hAnsi="Arial Narrow" w:cs="Arial"/>
          <w:szCs w:val="24"/>
          <w:lang w:eastAsia="en-GB"/>
        </w:rPr>
        <w:t xml:space="preserve"> </w:t>
      </w:r>
      <w:proofErr w:type="spellStart"/>
      <w:r w:rsidRPr="001E5815">
        <w:rPr>
          <w:rFonts w:ascii="Arial Narrow" w:hAnsi="Arial Narrow" w:cs="Arial"/>
          <w:szCs w:val="24"/>
          <w:lang w:eastAsia="en-GB"/>
        </w:rPr>
        <w:t>3DG</w:t>
      </w:r>
      <w:proofErr w:type="spellEnd"/>
    </w:p>
    <w:p w:rsidR="002C1F2D" w:rsidRPr="001E5815" w:rsidRDefault="002C1F2D" w:rsidP="002C1F2D">
      <w:pPr>
        <w:jc w:val="left"/>
        <w:rPr>
          <w:rFonts w:ascii="Arial Narrow" w:hAnsi="Arial Narrow" w:cs="Arial"/>
          <w:szCs w:val="24"/>
          <w:lang w:eastAsia="en-GB"/>
        </w:rPr>
      </w:pPr>
    </w:p>
    <w:p w:rsidR="002C1F2D" w:rsidRPr="001E5815" w:rsidRDefault="002C1F2D" w:rsidP="002C1F2D">
      <w:pPr>
        <w:jc w:val="left"/>
        <w:rPr>
          <w:rFonts w:ascii="Arial Narrow" w:hAnsi="Arial Narrow" w:cs="Arial"/>
          <w:szCs w:val="24"/>
          <w:lang w:eastAsia="en-GB"/>
        </w:rPr>
      </w:pPr>
      <w:r w:rsidRPr="001E5815">
        <w:rPr>
          <w:rFonts w:ascii="Arial Narrow" w:hAnsi="Arial Narrow" w:cs="Arial"/>
          <w:szCs w:val="24"/>
          <w:lang w:eastAsia="en-GB"/>
        </w:rPr>
        <w:t>Dear Fiona Howe,</w:t>
      </w:r>
      <w:r w:rsidRPr="001E5815">
        <w:rPr>
          <w:rFonts w:ascii="Arial Narrow" w:hAnsi="Arial Narrow"/>
          <w:szCs w:val="24"/>
          <w:lang w:eastAsia="en-GB"/>
        </w:rPr>
        <w:t xml:space="preserve"> </w:t>
      </w:r>
    </w:p>
    <w:p w:rsidR="002C1F2D" w:rsidRPr="001E5815" w:rsidRDefault="002C1F2D" w:rsidP="002C1F2D">
      <w:pPr>
        <w:jc w:val="left"/>
        <w:rPr>
          <w:rFonts w:ascii="Arial Narrow" w:hAnsi="Arial Narrow" w:cs="Andalus"/>
          <w:szCs w:val="24"/>
        </w:rPr>
      </w:pPr>
    </w:p>
    <w:p w:rsidR="001D4230" w:rsidRPr="001E5815" w:rsidRDefault="00510248" w:rsidP="001D4230">
      <w:pPr>
        <w:rPr>
          <w:rFonts w:ascii="Arial Narrow" w:hAnsi="Arial Narrow" w:cs="Andalus"/>
          <w:szCs w:val="24"/>
        </w:rPr>
      </w:pPr>
      <w:r w:rsidRPr="001E5815">
        <w:rPr>
          <w:rFonts w:ascii="Arial Narrow" w:hAnsi="Arial Narrow" w:cs="Andalus"/>
          <w:szCs w:val="24"/>
        </w:rPr>
        <w:t xml:space="preserve">The Commission welcomes the Scottish Government consultation on the Letter of Rights. We agree that notification of rights of suspects held in police detention must be given in writing in order to help suspects understand their legal rights. </w:t>
      </w:r>
      <w:r w:rsidR="001D4230" w:rsidRPr="001E5815">
        <w:rPr>
          <w:rFonts w:ascii="Arial Narrow" w:hAnsi="Arial Narrow" w:cs="Andalus"/>
          <w:szCs w:val="24"/>
        </w:rPr>
        <w:t xml:space="preserve">Research on this area of law in the EU as well as jurisprudence from the </w:t>
      </w:r>
      <w:proofErr w:type="spellStart"/>
      <w:r w:rsidR="001D4230" w:rsidRPr="001E5815">
        <w:rPr>
          <w:rFonts w:ascii="Arial Narrow" w:hAnsi="Arial Narrow" w:cs="Andalus"/>
          <w:szCs w:val="24"/>
        </w:rPr>
        <w:t>ECtHR</w:t>
      </w:r>
      <w:proofErr w:type="spellEnd"/>
      <w:r w:rsidR="001D4230" w:rsidRPr="001E5815">
        <w:rPr>
          <w:rFonts w:ascii="Arial Narrow" w:hAnsi="Arial Narrow" w:cs="Andalus"/>
          <w:szCs w:val="24"/>
        </w:rPr>
        <w:t xml:space="preserve"> indicate that</w:t>
      </w:r>
      <w:r w:rsidR="00412386">
        <w:rPr>
          <w:rFonts w:ascii="Arial Narrow" w:hAnsi="Arial Narrow" w:cs="Andalus"/>
          <w:szCs w:val="24"/>
        </w:rPr>
        <w:t>;</w:t>
      </w:r>
      <w:r w:rsidR="001D4230" w:rsidRPr="001E5815">
        <w:rPr>
          <w:rFonts w:ascii="Arial Narrow" w:hAnsi="Arial Narrow" w:cs="Andalus"/>
          <w:szCs w:val="24"/>
        </w:rPr>
        <w:t xml:space="preserve"> while in most EU states have legal provisions governing defence rights of suspects and defendants in criminal proceedings, their effectiveness and observance depends to a large extent on the existence of procedural and institutional enforcement mechanisms in practice. One of the key factors in ensuring fair proceedings is whether suspects have a sufficiently detailed knowledge of their rights and this includes the initial stages. </w:t>
      </w:r>
    </w:p>
    <w:p w:rsidR="001D4230" w:rsidRPr="001E5815" w:rsidRDefault="001D4230" w:rsidP="001D4230">
      <w:pPr>
        <w:rPr>
          <w:rFonts w:ascii="Arial Narrow" w:hAnsi="Arial Narrow" w:cs="Andalus"/>
          <w:szCs w:val="24"/>
        </w:rPr>
      </w:pPr>
    </w:p>
    <w:p w:rsidR="00510248" w:rsidRPr="001E5815" w:rsidRDefault="00510248" w:rsidP="00510248">
      <w:pPr>
        <w:rPr>
          <w:rFonts w:ascii="Arial Narrow" w:hAnsi="Arial Narrow" w:cs="Andalus"/>
          <w:szCs w:val="24"/>
        </w:rPr>
      </w:pPr>
      <w:r w:rsidRPr="001E5815">
        <w:rPr>
          <w:rFonts w:ascii="Arial Narrow" w:hAnsi="Arial Narrow" w:cs="Andalus"/>
          <w:szCs w:val="24"/>
        </w:rPr>
        <w:t xml:space="preserve">The Commission would like to make a number of </w:t>
      </w:r>
      <w:r w:rsidR="00A4623C" w:rsidRPr="001E5815">
        <w:rPr>
          <w:rFonts w:ascii="Arial Narrow" w:hAnsi="Arial Narrow" w:cs="Andalus"/>
          <w:szCs w:val="24"/>
        </w:rPr>
        <w:t>recommendations/</w:t>
      </w:r>
      <w:r w:rsidR="007A210D" w:rsidRPr="001E5815">
        <w:rPr>
          <w:rFonts w:ascii="Arial Narrow" w:hAnsi="Arial Narrow" w:cs="Andalus"/>
          <w:szCs w:val="24"/>
        </w:rPr>
        <w:t>additions</w:t>
      </w:r>
      <w:r w:rsidRPr="001E5815">
        <w:rPr>
          <w:rFonts w:ascii="Arial Narrow" w:hAnsi="Arial Narrow" w:cs="Andalus"/>
          <w:szCs w:val="24"/>
        </w:rPr>
        <w:t xml:space="preserve"> in order to </w:t>
      </w:r>
      <w:r w:rsidR="005B236E" w:rsidRPr="001E5815">
        <w:rPr>
          <w:rFonts w:ascii="Arial Narrow" w:hAnsi="Arial Narrow" w:cs="Andalus"/>
          <w:szCs w:val="24"/>
        </w:rPr>
        <w:t xml:space="preserve">ensure the </w:t>
      </w:r>
      <w:r w:rsidR="007A210D" w:rsidRPr="001E5815">
        <w:rPr>
          <w:rFonts w:ascii="Arial Narrow" w:hAnsi="Arial Narrow" w:cs="Andalus"/>
          <w:szCs w:val="24"/>
        </w:rPr>
        <w:t>‘</w:t>
      </w:r>
      <w:r w:rsidR="005B236E" w:rsidRPr="001E5815">
        <w:rPr>
          <w:rFonts w:ascii="Arial Narrow" w:hAnsi="Arial Narrow" w:cs="Andalus"/>
          <w:szCs w:val="24"/>
        </w:rPr>
        <w:t>Letter of Rights</w:t>
      </w:r>
      <w:r w:rsidR="007A210D" w:rsidRPr="001E5815">
        <w:rPr>
          <w:rFonts w:ascii="Arial Narrow" w:hAnsi="Arial Narrow" w:cs="Andalus"/>
          <w:szCs w:val="24"/>
        </w:rPr>
        <w:t>’</w:t>
      </w:r>
      <w:r w:rsidR="005B236E" w:rsidRPr="001E5815">
        <w:rPr>
          <w:rFonts w:ascii="Arial Narrow" w:hAnsi="Arial Narrow" w:cs="Andalus"/>
          <w:szCs w:val="24"/>
        </w:rPr>
        <w:t xml:space="preserve"> comply with human rights standards.</w:t>
      </w:r>
    </w:p>
    <w:p w:rsidR="005B236E" w:rsidRPr="001E5815" w:rsidRDefault="005B236E" w:rsidP="00510248">
      <w:pPr>
        <w:rPr>
          <w:rFonts w:ascii="Arial Narrow" w:hAnsi="Arial Narrow" w:cs="Andalus"/>
          <w:szCs w:val="24"/>
        </w:rPr>
      </w:pPr>
    </w:p>
    <w:p w:rsidR="00510248" w:rsidRPr="001E5815" w:rsidRDefault="00510248" w:rsidP="00510248">
      <w:pPr>
        <w:rPr>
          <w:rFonts w:ascii="Arial Narrow" w:hAnsi="Arial Narrow" w:cs="Andalus"/>
          <w:szCs w:val="24"/>
        </w:rPr>
      </w:pPr>
      <w:r w:rsidRPr="001E5815">
        <w:rPr>
          <w:rFonts w:ascii="Arial Narrow" w:hAnsi="Arial Narrow" w:cs="Andalus"/>
          <w:szCs w:val="24"/>
        </w:rPr>
        <w:t>A. Content of the Letter of Rights.</w:t>
      </w:r>
    </w:p>
    <w:p w:rsidR="00510248" w:rsidRPr="001E5815" w:rsidRDefault="00510248" w:rsidP="00510248">
      <w:pPr>
        <w:rPr>
          <w:rFonts w:ascii="Arial Narrow" w:hAnsi="Arial Narrow" w:cs="Andalus"/>
          <w:szCs w:val="24"/>
        </w:rPr>
      </w:pPr>
    </w:p>
    <w:p w:rsidR="007A210D" w:rsidRPr="001E5815" w:rsidRDefault="00A4623C" w:rsidP="001D4230">
      <w:pPr>
        <w:rPr>
          <w:rFonts w:ascii="Arial Narrow" w:hAnsi="Arial Narrow" w:cs="Andalus"/>
          <w:szCs w:val="24"/>
        </w:rPr>
      </w:pPr>
      <w:r w:rsidRPr="001E5815">
        <w:rPr>
          <w:rFonts w:ascii="Arial Narrow" w:hAnsi="Arial Narrow" w:cs="Andalus"/>
          <w:szCs w:val="24"/>
        </w:rPr>
        <w:t>S</w:t>
      </w:r>
      <w:r w:rsidR="001D4230" w:rsidRPr="001E5815">
        <w:rPr>
          <w:rFonts w:ascii="Arial Narrow" w:hAnsi="Arial Narrow" w:cs="Andalus"/>
          <w:szCs w:val="24"/>
        </w:rPr>
        <w:t>imple and short sentences</w:t>
      </w:r>
      <w:r w:rsidRPr="001E5815">
        <w:rPr>
          <w:rFonts w:ascii="Arial Narrow" w:hAnsi="Arial Narrow" w:cs="Andalus"/>
          <w:szCs w:val="24"/>
        </w:rPr>
        <w:t>, and perhaps a m</w:t>
      </w:r>
      <w:r w:rsidR="001D4230" w:rsidRPr="001E5815">
        <w:rPr>
          <w:rFonts w:ascii="Arial Narrow" w:hAnsi="Arial Narrow" w:cs="Andalus"/>
          <w:szCs w:val="24"/>
        </w:rPr>
        <w:t>ore detailed</w:t>
      </w:r>
      <w:r w:rsidRPr="001E5815">
        <w:rPr>
          <w:rFonts w:ascii="Arial Narrow" w:hAnsi="Arial Narrow" w:cs="Andalus"/>
          <w:szCs w:val="24"/>
        </w:rPr>
        <w:t xml:space="preserve"> </w:t>
      </w:r>
      <w:r w:rsidR="001D4230" w:rsidRPr="001E5815">
        <w:rPr>
          <w:rFonts w:ascii="Arial Narrow" w:hAnsi="Arial Narrow" w:cs="Andalus"/>
          <w:szCs w:val="24"/>
        </w:rPr>
        <w:t xml:space="preserve">explanations </w:t>
      </w:r>
      <w:r w:rsidRPr="001E5815">
        <w:rPr>
          <w:rFonts w:ascii="Arial Narrow" w:hAnsi="Arial Narrow" w:cs="Andalus"/>
          <w:szCs w:val="24"/>
        </w:rPr>
        <w:t xml:space="preserve">could be </w:t>
      </w:r>
      <w:r w:rsidR="001D4230" w:rsidRPr="001E5815">
        <w:rPr>
          <w:rFonts w:ascii="Arial Narrow" w:hAnsi="Arial Narrow" w:cs="Andalus"/>
          <w:szCs w:val="24"/>
        </w:rPr>
        <w:t>given in the next pages of the Letter of Rights</w:t>
      </w:r>
      <w:r w:rsidRPr="001E5815">
        <w:rPr>
          <w:rFonts w:ascii="Arial Narrow" w:hAnsi="Arial Narrow" w:cs="Andalus"/>
          <w:szCs w:val="24"/>
        </w:rPr>
        <w:t>, on the following subjects:</w:t>
      </w:r>
    </w:p>
    <w:p w:rsidR="007A210D" w:rsidRPr="001E5815" w:rsidRDefault="007A210D" w:rsidP="007A210D">
      <w:pPr>
        <w:rPr>
          <w:rFonts w:ascii="Arial Narrow" w:hAnsi="Arial Narrow" w:cs="Andalus"/>
          <w:szCs w:val="24"/>
        </w:rPr>
      </w:pPr>
    </w:p>
    <w:p w:rsidR="00BC7B34" w:rsidRPr="001E5815" w:rsidRDefault="00A4623C" w:rsidP="00A4623C">
      <w:pPr>
        <w:pStyle w:val="ListParagraph"/>
        <w:numPr>
          <w:ilvl w:val="0"/>
          <w:numId w:val="5"/>
        </w:numPr>
        <w:rPr>
          <w:rFonts w:ascii="Arial Narrow" w:hAnsi="Arial Narrow" w:cs="Andalus"/>
          <w:szCs w:val="24"/>
        </w:rPr>
      </w:pPr>
      <w:r w:rsidRPr="001E5815">
        <w:rPr>
          <w:rFonts w:ascii="Arial Narrow" w:hAnsi="Arial Narrow" w:cs="Andalus"/>
          <w:szCs w:val="24"/>
        </w:rPr>
        <w:t xml:space="preserve">The suspect </w:t>
      </w:r>
      <w:r w:rsidR="00510248" w:rsidRPr="001E5815">
        <w:rPr>
          <w:rFonts w:ascii="Arial Narrow" w:hAnsi="Arial Narrow" w:cs="Andalus"/>
          <w:szCs w:val="24"/>
        </w:rPr>
        <w:t>entitlement to legal advice free of charge and conditions for obtaining it</w:t>
      </w:r>
      <w:r w:rsidRPr="001E5815">
        <w:rPr>
          <w:rFonts w:ascii="Arial Narrow" w:hAnsi="Arial Narrow" w:cs="Andalus"/>
          <w:szCs w:val="24"/>
        </w:rPr>
        <w:t xml:space="preserve">. </w:t>
      </w:r>
    </w:p>
    <w:p w:rsidR="00BC7B34" w:rsidRPr="001E5815" w:rsidRDefault="00BC7B34" w:rsidP="00BC7B34">
      <w:pPr>
        <w:pStyle w:val="ListParagraph"/>
        <w:rPr>
          <w:rFonts w:ascii="Arial Narrow" w:hAnsi="Arial Narrow" w:cs="Andalus"/>
          <w:szCs w:val="24"/>
        </w:rPr>
      </w:pPr>
    </w:p>
    <w:p w:rsidR="00510248" w:rsidRPr="001E5815" w:rsidRDefault="00A4623C" w:rsidP="00BC7B34">
      <w:pPr>
        <w:pStyle w:val="ListParagraph"/>
        <w:ind w:left="0"/>
        <w:rPr>
          <w:rFonts w:ascii="Arial Narrow" w:hAnsi="Arial Narrow" w:cs="Andalus"/>
          <w:szCs w:val="24"/>
        </w:rPr>
      </w:pPr>
      <w:r w:rsidRPr="001E5815">
        <w:rPr>
          <w:rFonts w:ascii="Arial Narrow" w:hAnsi="Arial Narrow" w:cs="Andalus"/>
          <w:szCs w:val="24"/>
        </w:rPr>
        <w:t xml:space="preserve">The Commission recommends to </w:t>
      </w:r>
      <w:r w:rsidR="00510248" w:rsidRPr="001E5815">
        <w:rPr>
          <w:rFonts w:ascii="Arial Narrow" w:hAnsi="Arial Narrow" w:cs="Andalus"/>
          <w:szCs w:val="24"/>
        </w:rPr>
        <w:t>clarify the circumstances in which advice is free (for example if a phone call with the on-call lawyer is always free that should be</w:t>
      </w:r>
      <w:r w:rsidR="001E5815">
        <w:rPr>
          <w:rFonts w:ascii="Arial Narrow" w:hAnsi="Arial Narrow" w:cs="Andalus"/>
          <w:szCs w:val="24"/>
        </w:rPr>
        <w:t xml:space="preserve"> </w:t>
      </w:r>
      <w:r w:rsidR="00510248" w:rsidRPr="001E5815">
        <w:rPr>
          <w:rFonts w:ascii="Arial Narrow" w:hAnsi="Arial Narrow" w:cs="Andalus"/>
          <w:szCs w:val="24"/>
        </w:rPr>
        <w:t xml:space="preserve">made clear); </w:t>
      </w:r>
      <w:r w:rsidRPr="001E5815">
        <w:rPr>
          <w:rFonts w:ascii="Arial Narrow" w:hAnsi="Arial Narrow" w:cs="Andalus"/>
          <w:szCs w:val="24"/>
        </w:rPr>
        <w:t xml:space="preserve">as well as </w:t>
      </w:r>
      <w:r w:rsidR="00510248" w:rsidRPr="001E5815">
        <w:rPr>
          <w:rFonts w:ascii="Arial Narrow" w:hAnsi="Arial Narrow" w:cs="Andalus"/>
          <w:szCs w:val="24"/>
        </w:rPr>
        <w:t xml:space="preserve">to explain the circumstances in which someone will not get free advice. </w:t>
      </w:r>
      <w:r w:rsidRPr="001E5815">
        <w:rPr>
          <w:rFonts w:ascii="Arial Narrow" w:hAnsi="Arial Narrow" w:cs="Andalus"/>
          <w:szCs w:val="24"/>
        </w:rPr>
        <w:t xml:space="preserve">There is a </w:t>
      </w:r>
      <w:r w:rsidR="00510248" w:rsidRPr="001E5815">
        <w:rPr>
          <w:rFonts w:ascii="Arial Narrow" w:hAnsi="Arial Narrow" w:cs="Andalus"/>
          <w:szCs w:val="24"/>
        </w:rPr>
        <w:t>danger that people</w:t>
      </w:r>
      <w:r w:rsidR="00412386">
        <w:rPr>
          <w:rFonts w:ascii="Arial Narrow" w:hAnsi="Arial Narrow" w:cs="Andalus"/>
          <w:szCs w:val="24"/>
        </w:rPr>
        <w:t xml:space="preserve"> may</w:t>
      </w:r>
      <w:r w:rsidR="00510248" w:rsidRPr="001E5815">
        <w:rPr>
          <w:rFonts w:ascii="Arial Narrow" w:hAnsi="Arial Narrow" w:cs="Andalus"/>
          <w:szCs w:val="24"/>
        </w:rPr>
        <w:t xml:space="preserve"> waive their right to legal assistance </w:t>
      </w:r>
      <w:r w:rsidRPr="001E5815">
        <w:rPr>
          <w:rFonts w:ascii="Arial Narrow" w:hAnsi="Arial Narrow" w:cs="Andalus"/>
          <w:szCs w:val="24"/>
        </w:rPr>
        <w:t>bec</w:t>
      </w:r>
      <w:r w:rsidR="00510248" w:rsidRPr="001E5815">
        <w:rPr>
          <w:rFonts w:ascii="Arial Narrow" w:hAnsi="Arial Narrow" w:cs="Andalus"/>
          <w:szCs w:val="24"/>
        </w:rPr>
        <w:t xml:space="preserve">ause they think </w:t>
      </w:r>
      <w:r w:rsidRPr="001E5815">
        <w:rPr>
          <w:rFonts w:ascii="Arial Narrow" w:hAnsi="Arial Narrow" w:cs="Andalus"/>
          <w:szCs w:val="24"/>
        </w:rPr>
        <w:t xml:space="preserve">that </w:t>
      </w:r>
      <w:r w:rsidR="00510248" w:rsidRPr="001E5815">
        <w:rPr>
          <w:rFonts w:ascii="Arial Narrow" w:hAnsi="Arial Narrow" w:cs="Andalus"/>
          <w:szCs w:val="24"/>
        </w:rPr>
        <w:t xml:space="preserve">even asking for a phone consultation might cost </w:t>
      </w:r>
      <w:r w:rsidRPr="001E5815">
        <w:rPr>
          <w:rFonts w:ascii="Arial Narrow" w:hAnsi="Arial Narrow" w:cs="Andalus"/>
          <w:szCs w:val="24"/>
        </w:rPr>
        <w:t>money</w:t>
      </w:r>
      <w:r w:rsidR="00510248" w:rsidRPr="001E5815">
        <w:rPr>
          <w:rFonts w:ascii="Arial Narrow" w:hAnsi="Arial Narrow" w:cs="Andalus"/>
          <w:szCs w:val="24"/>
        </w:rPr>
        <w:t>.</w:t>
      </w:r>
      <w:r w:rsidRPr="001E5815">
        <w:rPr>
          <w:rFonts w:ascii="Arial Narrow" w:hAnsi="Arial Narrow" w:cs="Andalus"/>
          <w:szCs w:val="24"/>
        </w:rPr>
        <w:t xml:space="preserve"> It is important to note that the EU Directive </w:t>
      </w:r>
      <w:r w:rsidR="00510248" w:rsidRPr="001E5815">
        <w:rPr>
          <w:rFonts w:ascii="Arial Narrow" w:hAnsi="Arial Narrow" w:cs="Andalus"/>
          <w:szCs w:val="24"/>
        </w:rPr>
        <w:t>applies throughout the proceedings, not just when initially in custody (Art</w:t>
      </w:r>
      <w:r w:rsidRPr="001E5815">
        <w:rPr>
          <w:rFonts w:ascii="Arial Narrow" w:hAnsi="Arial Narrow" w:cs="Andalus"/>
          <w:szCs w:val="24"/>
        </w:rPr>
        <w:t>icle</w:t>
      </w:r>
      <w:r w:rsidR="00510248" w:rsidRPr="001E5815">
        <w:rPr>
          <w:rFonts w:ascii="Arial Narrow" w:hAnsi="Arial Narrow" w:cs="Andalus"/>
          <w:szCs w:val="24"/>
        </w:rPr>
        <w:t xml:space="preserve"> 2)</w:t>
      </w:r>
      <w:r w:rsidRPr="001E5815">
        <w:rPr>
          <w:rFonts w:ascii="Arial Narrow" w:hAnsi="Arial Narrow" w:cs="Andalus"/>
          <w:szCs w:val="24"/>
        </w:rPr>
        <w:t>.</w:t>
      </w:r>
      <w:r w:rsidR="00510248" w:rsidRPr="001E5815">
        <w:rPr>
          <w:rFonts w:ascii="Arial Narrow" w:hAnsi="Arial Narrow" w:cs="Andalus"/>
          <w:szCs w:val="24"/>
        </w:rPr>
        <w:t xml:space="preserve"> </w:t>
      </w:r>
    </w:p>
    <w:p w:rsidR="00BC7B34" w:rsidRPr="001E5815" w:rsidRDefault="00BC7B34" w:rsidP="00BC7B34">
      <w:pPr>
        <w:pStyle w:val="ListParagraph"/>
        <w:numPr>
          <w:ilvl w:val="0"/>
          <w:numId w:val="5"/>
        </w:numPr>
        <w:rPr>
          <w:rFonts w:ascii="Arial Narrow" w:hAnsi="Arial Narrow" w:cs="Andalus"/>
          <w:szCs w:val="24"/>
        </w:rPr>
      </w:pPr>
      <w:r w:rsidRPr="001E5815">
        <w:rPr>
          <w:rFonts w:ascii="Arial Narrow" w:hAnsi="Arial Narrow" w:cs="Andalus"/>
          <w:szCs w:val="24"/>
        </w:rPr>
        <w:lastRenderedPageBreak/>
        <w:t xml:space="preserve">The </w:t>
      </w:r>
      <w:r w:rsidR="00510248" w:rsidRPr="001E5815">
        <w:rPr>
          <w:rFonts w:ascii="Arial Narrow" w:hAnsi="Arial Narrow" w:cs="Andalus"/>
          <w:szCs w:val="24"/>
        </w:rPr>
        <w:t>right to be informed in a language he</w:t>
      </w:r>
      <w:r w:rsidRPr="001E5815">
        <w:rPr>
          <w:rFonts w:ascii="Arial Narrow" w:hAnsi="Arial Narrow" w:cs="Andalus"/>
          <w:szCs w:val="24"/>
        </w:rPr>
        <w:t>/she</w:t>
      </w:r>
      <w:r w:rsidR="00510248" w:rsidRPr="001E5815">
        <w:rPr>
          <w:rFonts w:ascii="Arial Narrow" w:hAnsi="Arial Narrow" w:cs="Andalus"/>
          <w:szCs w:val="24"/>
        </w:rPr>
        <w:t xml:space="preserve"> understands</w:t>
      </w:r>
      <w:r w:rsidRPr="001E5815">
        <w:rPr>
          <w:rFonts w:ascii="Arial Narrow" w:hAnsi="Arial Narrow" w:cs="Andalus"/>
          <w:szCs w:val="24"/>
        </w:rPr>
        <w:t xml:space="preserve"> of the reasons </w:t>
      </w:r>
      <w:proofErr w:type="spellStart"/>
      <w:r w:rsidR="00412386">
        <w:rPr>
          <w:rFonts w:ascii="Arial Narrow" w:hAnsi="Arial Narrow" w:cs="Andalus"/>
          <w:szCs w:val="24"/>
        </w:rPr>
        <w:t>for</w:t>
      </w:r>
      <w:r w:rsidRPr="001E5815">
        <w:rPr>
          <w:rFonts w:ascii="Arial Narrow" w:hAnsi="Arial Narrow" w:cs="Andalus"/>
          <w:szCs w:val="24"/>
        </w:rPr>
        <w:t>the</w:t>
      </w:r>
      <w:proofErr w:type="spellEnd"/>
      <w:r w:rsidRPr="001E5815">
        <w:rPr>
          <w:rFonts w:ascii="Arial Narrow" w:hAnsi="Arial Narrow" w:cs="Andalus"/>
          <w:szCs w:val="24"/>
        </w:rPr>
        <w:t xml:space="preserve"> arrest or at least before the first official interview by the police. </w:t>
      </w:r>
    </w:p>
    <w:p w:rsidR="00BC7B34" w:rsidRPr="001E5815" w:rsidRDefault="00BC7B34" w:rsidP="00BC7B34">
      <w:pPr>
        <w:rPr>
          <w:rFonts w:ascii="Arial Narrow" w:hAnsi="Arial Narrow" w:cs="Andalus"/>
          <w:szCs w:val="24"/>
        </w:rPr>
      </w:pPr>
    </w:p>
    <w:p w:rsidR="00BC7B34" w:rsidRPr="001E5815" w:rsidRDefault="00BC7B34" w:rsidP="00BC7B34">
      <w:pPr>
        <w:rPr>
          <w:rFonts w:ascii="Arial Narrow" w:hAnsi="Arial Narrow" w:cs="Andalus"/>
          <w:i/>
          <w:szCs w:val="24"/>
        </w:rPr>
      </w:pPr>
      <w:r w:rsidRPr="001E5815">
        <w:rPr>
          <w:rFonts w:ascii="Arial Narrow" w:hAnsi="Arial Narrow" w:cs="Andalus"/>
          <w:szCs w:val="24"/>
        </w:rPr>
        <w:t xml:space="preserve">The Commission </w:t>
      </w:r>
      <w:r w:rsidR="00510248" w:rsidRPr="001E5815">
        <w:rPr>
          <w:rFonts w:ascii="Arial Narrow" w:hAnsi="Arial Narrow" w:cs="Andalus"/>
          <w:szCs w:val="24"/>
        </w:rPr>
        <w:t>suggest</w:t>
      </w:r>
      <w:r w:rsidRPr="001E5815">
        <w:rPr>
          <w:rFonts w:ascii="Arial Narrow" w:hAnsi="Arial Narrow" w:cs="Andalus"/>
          <w:szCs w:val="24"/>
        </w:rPr>
        <w:t>s</w:t>
      </w:r>
      <w:r w:rsidR="00510248" w:rsidRPr="001E5815">
        <w:rPr>
          <w:rFonts w:ascii="Arial Narrow" w:hAnsi="Arial Narrow" w:cs="Andalus"/>
          <w:szCs w:val="24"/>
        </w:rPr>
        <w:t xml:space="preserve"> that in the first box "Remember your rights" </w:t>
      </w:r>
      <w:r w:rsidRPr="001E5815">
        <w:rPr>
          <w:rFonts w:ascii="Arial Narrow" w:hAnsi="Arial Narrow" w:cs="Andalus"/>
          <w:szCs w:val="24"/>
        </w:rPr>
        <w:t xml:space="preserve">it is inserted: </w:t>
      </w:r>
      <w:r w:rsidRPr="001E5815">
        <w:rPr>
          <w:rFonts w:ascii="Arial Narrow" w:hAnsi="Arial Narrow" w:cs="Andalus"/>
          <w:szCs w:val="24"/>
        </w:rPr>
        <w:tab/>
      </w:r>
      <w:r w:rsidR="00510248" w:rsidRPr="001E5815">
        <w:rPr>
          <w:rFonts w:ascii="Arial Narrow" w:hAnsi="Arial Narrow" w:cs="Andalus"/>
          <w:i/>
          <w:szCs w:val="24"/>
        </w:rPr>
        <w:t>"If you do not speak English, you have the right to be told in a language you understand</w:t>
      </w:r>
      <w:r w:rsidR="00412386">
        <w:rPr>
          <w:rFonts w:ascii="Arial Narrow" w:hAnsi="Arial Narrow" w:cs="Andalus"/>
          <w:i/>
          <w:szCs w:val="24"/>
        </w:rPr>
        <w:t>: a)</w:t>
      </w:r>
      <w:r w:rsidR="00510248" w:rsidRPr="001E5815">
        <w:rPr>
          <w:rFonts w:ascii="Arial Narrow" w:hAnsi="Arial Narrow" w:cs="Andalus"/>
          <w:i/>
          <w:szCs w:val="24"/>
        </w:rPr>
        <w:t xml:space="preserve"> why the police are holding you in custody</w:t>
      </w:r>
      <w:r w:rsidR="00412386">
        <w:rPr>
          <w:rFonts w:ascii="Arial Narrow" w:hAnsi="Arial Narrow" w:cs="Andalus"/>
          <w:i/>
          <w:szCs w:val="24"/>
        </w:rPr>
        <w:t xml:space="preserve">, b) </w:t>
      </w:r>
      <w:r w:rsidR="00510248" w:rsidRPr="001E5815">
        <w:rPr>
          <w:rFonts w:ascii="Arial Narrow" w:hAnsi="Arial Narrow" w:cs="Andalus"/>
          <w:i/>
          <w:szCs w:val="24"/>
        </w:rPr>
        <w:t>what the police suspect you have done.</w:t>
      </w:r>
      <w:r w:rsidR="00412386">
        <w:rPr>
          <w:rFonts w:ascii="Arial Narrow" w:hAnsi="Arial Narrow" w:cs="Andalus"/>
          <w:i/>
          <w:szCs w:val="24"/>
        </w:rPr>
        <w:t xml:space="preserve"> Y</w:t>
      </w:r>
      <w:r w:rsidR="00510248" w:rsidRPr="001E5815">
        <w:rPr>
          <w:rFonts w:ascii="Arial Narrow" w:hAnsi="Arial Narrow" w:cs="Andalus"/>
          <w:i/>
          <w:szCs w:val="24"/>
        </w:rPr>
        <w:t>ou have a right to an interpreter free of charge to tell you this."</w:t>
      </w:r>
    </w:p>
    <w:p w:rsidR="00BC7B34" w:rsidRPr="001E5815" w:rsidRDefault="00BC7B34" w:rsidP="00BC7B34">
      <w:pPr>
        <w:rPr>
          <w:rFonts w:ascii="Arial Narrow" w:hAnsi="Arial Narrow" w:cs="Andalus"/>
          <w:i/>
          <w:szCs w:val="24"/>
        </w:rPr>
      </w:pPr>
    </w:p>
    <w:p w:rsidR="00510248" w:rsidRPr="001E5815" w:rsidRDefault="00BC7B34" w:rsidP="00BC7B34">
      <w:pPr>
        <w:rPr>
          <w:rFonts w:ascii="Arial Narrow" w:hAnsi="Arial Narrow" w:cs="Andalus"/>
          <w:szCs w:val="24"/>
        </w:rPr>
      </w:pPr>
      <w:r w:rsidRPr="001E5815">
        <w:rPr>
          <w:rFonts w:ascii="Arial Narrow" w:hAnsi="Arial Narrow" w:cs="Andalus"/>
          <w:szCs w:val="24"/>
        </w:rPr>
        <w:t xml:space="preserve">The letter should also contain </w:t>
      </w:r>
      <w:r w:rsidR="00510248" w:rsidRPr="001E5815">
        <w:rPr>
          <w:rFonts w:ascii="Arial Narrow" w:hAnsi="Arial Narrow" w:cs="Andalus"/>
          <w:szCs w:val="24"/>
        </w:rPr>
        <w:t>information for people who are going to be questioned</w:t>
      </w:r>
      <w:r w:rsidRPr="001E5815">
        <w:rPr>
          <w:rFonts w:ascii="Arial Narrow" w:hAnsi="Arial Narrow" w:cs="Andalus"/>
          <w:szCs w:val="24"/>
        </w:rPr>
        <w:t>. For example</w:t>
      </w:r>
      <w:r w:rsidR="00510248" w:rsidRPr="001E5815">
        <w:rPr>
          <w:rFonts w:ascii="Arial Narrow" w:hAnsi="Arial Narrow" w:cs="Andalus"/>
          <w:szCs w:val="24"/>
        </w:rPr>
        <w:t xml:space="preserve">, where it talks about getting legal advice, </w:t>
      </w:r>
      <w:r w:rsidRPr="001E5815">
        <w:rPr>
          <w:rFonts w:ascii="Arial Narrow" w:hAnsi="Arial Narrow" w:cs="Andalus"/>
          <w:szCs w:val="24"/>
        </w:rPr>
        <w:t xml:space="preserve">the Letter </w:t>
      </w:r>
      <w:r w:rsidR="00510248" w:rsidRPr="001E5815">
        <w:rPr>
          <w:rFonts w:ascii="Arial Narrow" w:hAnsi="Arial Narrow" w:cs="Andalus"/>
          <w:szCs w:val="24"/>
        </w:rPr>
        <w:t xml:space="preserve">should make clear that </w:t>
      </w:r>
      <w:r w:rsidRPr="001E5815">
        <w:rPr>
          <w:rFonts w:ascii="Arial Narrow" w:hAnsi="Arial Narrow" w:cs="Andalus"/>
          <w:szCs w:val="24"/>
        </w:rPr>
        <w:t xml:space="preserve">the person </w:t>
      </w:r>
      <w:r w:rsidR="00510248" w:rsidRPr="001E5815">
        <w:rPr>
          <w:rFonts w:ascii="Arial Narrow" w:hAnsi="Arial Narrow" w:cs="Andalus"/>
          <w:szCs w:val="24"/>
        </w:rPr>
        <w:t xml:space="preserve">can have an interpreter to help </w:t>
      </w:r>
      <w:r w:rsidRPr="001E5815">
        <w:rPr>
          <w:rFonts w:ascii="Arial Narrow" w:hAnsi="Arial Narrow" w:cs="Andalus"/>
          <w:szCs w:val="24"/>
        </w:rPr>
        <w:t>him/her</w:t>
      </w:r>
      <w:r w:rsidR="00510248" w:rsidRPr="001E5815">
        <w:rPr>
          <w:rFonts w:ascii="Arial Narrow" w:hAnsi="Arial Narrow" w:cs="Andalus"/>
          <w:szCs w:val="24"/>
        </w:rPr>
        <w:t xml:space="preserve"> speak to </w:t>
      </w:r>
      <w:r w:rsidRPr="001E5815">
        <w:rPr>
          <w:rFonts w:ascii="Arial Narrow" w:hAnsi="Arial Narrow" w:cs="Andalus"/>
          <w:szCs w:val="24"/>
        </w:rPr>
        <w:t>a</w:t>
      </w:r>
      <w:r w:rsidR="00510248" w:rsidRPr="001E5815">
        <w:rPr>
          <w:rFonts w:ascii="Arial Narrow" w:hAnsi="Arial Narrow" w:cs="Andalus"/>
          <w:szCs w:val="24"/>
        </w:rPr>
        <w:t xml:space="preserve"> lawyer if necessary.</w:t>
      </w:r>
    </w:p>
    <w:p w:rsidR="00510248" w:rsidRPr="001E5815" w:rsidRDefault="00510248" w:rsidP="00510248">
      <w:pPr>
        <w:rPr>
          <w:rFonts w:ascii="Arial Narrow" w:hAnsi="Arial Narrow" w:cs="Andalus"/>
          <w:szCs w:val="24"/>
        </w:rPr>
      </w:pPr>
    </w:p>
    <w:p w:rsidR="00BC7B34" w:rsidRPr="001E5815" w:rsidRDefault="00BC7B34" w:rsidP="00BC7B34">
      <w:pPr>
        <w:pStyle w:val="ListParagraph"/>
        <w:numPr>
          <w:ilvl w:val="0"/>
          <w:numId w:val="5"/>
        </w:numPr>
        <w:rPr>
          <w:rFonts w:ascii="Arial Narrow" w:hAnsi="Arial Narrow" w:cs="Andalus"/>
          <w:szCs w:val="24"/>
        </w:rPr>
      </w:pPr>
      <w:r w:rsidRPr="001E5815">
        <w:rPr>
          <w:rFonts w:ascii="Arial Narrow" w:hAnsi="Arial Narrow" w:cs="Andalus"/>
          <w:szCs w:val="24"/>
        </w:rPr>
        <w:t>The possibility to challenge the lawfulness of the arrest, to obtain a review of the detention, or to apply for provisional release.</w:t>
      </w:r>
    </w:p>
    <w:p w:rsidR="00BC7B34" w:rsidRPr="001E5815" w:rsidRDefault="00BC7B34" w:rsidP="00510248">
      <w:pPr>
        <w:rPr>
          <w:rFonts w:ascii="Arial Narrow" w:hAnsi="Arial Narrow" w:cs="Andalus"/>
          <w:szCs w:val="24"/>
        </w:rPr>
      </w:pPr>
      <w:r w:rsidRPr="001E5815">
        <w:rPr>
          <w:rFonts w:ascii="Arial Narrow" w:hAnsi="Arial Narrow" w:cs="Andalus"/>
          <w:szCs w:val="24"/>
        </w:rPr>
        <w:t xml:space="preserve"> </w:t>
      </w:r>
    </w:p>
    <w:p w:rsidR="00510248" w:rsidRPr="001E5815" w:rsidRDefault="00BC7B34" w:rsidP="00510248">
      <w:pPr>
        <w:rPr>
          <w:rFonts w:ascii="Arial Narrow" w:hAnsi="Arial Narrow" w:cs="Andalus"/>
          <w:szCs w:val="24"/>
        </w:rPr>
      </w:pPr>
      <w:r w:rsidRPr="001E5815">
        <w:rPr>
          <w:rFonts w:ascii="Arial Narrow" w:hAnsi="Arial Narrow" w:cs="Andalus"/>
          <w:szCs w:val="24"/>
        </w:rPr>
        <w:t xml:space="preserve">The letter should inform the suspect not only </w:t>
      </w:r>
      <w:r w:rsidR="00510248" w:rsidRPr="001E5815">
        <w:rPr>
          <w:rFonts w:ascii="Arial Narrow" w:hAnsi="Arial Narrow" w:cs="Andalus"/>
          <w:szCs w:val="24"/>
        </w:rPr>
        <w:t xml:space="preserve">how long </w:t>
      </w:r>
      <w:r w:rsidRPr="001E5815">
        <w:rPr>
          <w:rFonts w:ascii="Arial Narrow" w:hAnsi="Arial Narrow" w:cs="Andalus"/>
          <w:szCs w:val="24"/>
        </w:rPr>
        <w:t xml:space="preserve">he/she </w:t>
      </w:r>
      <w:r w:rsidR="00510248" w:rsidRPr="001E5815">
        <w:rPr>
          <w:rFonts w:ascii="Arial Narrow" w:hAnsi="Arial Narrow" w:cs="Andalus"/>
          <w:szCs w:val="24"/>
        </w:rPr>
        <w:t xml:space="preserve">can be kept in custody, </w:t>
      </w:r>
      <w:r w:rsidRPr="001E5815">
        <w:rPr>
          <w:rFonts w:ascii="Arial Narrow" w:hAnsi="Arial Narrow" w:cs="Andalus"/>
          <w:szCs w:val="24"/>
        </w:rPr>
        <w:t xml:space="preserve">but </w:t>
      </w:r>
      <w:r w:rsidR="00510248" w:rsidRPr="001E5815">
        <w:rPr>
          <w:rFonts w:ascii="Arial Narrow" w:hAnsi="Arial Narrow" w:cs="Andalus"/>
          <w:szCs w:val="24"/>
        </w:rPr>
        <w:t xml:space="preserve">it should </w:t>
      </w:r>
      <w:r w:rsidRPr="001E5815">
        <w:rPr>
          <w:rFonts w:ascii="Arial Narrow" w:hAnsi="Arial Narrow" w:cs="Andalus"/>
          <w:szCs w:val="24"/>
        </w:rPr>
        <w:t xml:space="preserve">also </w:t>
      </w:r>
      <w:r w:rsidR="00510248" w:rsidRPr="001E5815">
        <w:rPr>
          <w:rFonts w:ascii="Arial Narrow" w:hAnsi="Arial Narrow" w:cs="Andalus"/>
          <w:szCs w:val="24"/>
        </w:rPr>
        <w:t>deal with challenging the detention</w:t>
      </w:r>
      <w:r w:rsidRPr="001E5815">
        <w:rPr>
          <w:rFonts w:ascii="Arial Narrow" w:hAnsi="Arial Narrow" w:cs="Andalus"/>
          <w:szCs w:val="24"/>
        </w:rPr>
        <w:t xml:space="preserve"> before the court. The Commission recommends to </w:t>
      </w:r>
      <w:r w:rsidR="00510248" w:rsidRPr="001E5815">
        <w:rPr>
          <w:rFonts w:ascii="Arial Narrow" w:hAnsi="Arial Narrow" w:cs="Andalus"/>
          <w:szCs w:val="24"/>
        </w:rPr>
        <w:t>include a section:</w:t>
      </w:r>
      <w:r w:rsidRPr="001E5815">
        <w:rPr>
          <w:rFonts w:ascii="Arial Narrow" w:hAnsi="Arial Narrow" w:cs="Andalus"/>
          <w:szCs w:val="24"/>
        </w:rPr>
        <w:t xml:space="preserve"> </w:t>
      </w:r>
      <w:r w:rsidR="00510248" w:rsidRPr="001E5815">
        <w:rPr>
          <w:rFonts w:ascii="Arial Narrow" w:hAnsi="Arial Narrow" w:cs="Andalus"/>
          <w:i/>
          <w:szCs w:val="24"/>
        </w:rPr>
        <w:t>How can you challenge your detention?</w:t>
      </w:r>
      <w:r w:rsidR="00510248" w:rsidRPr="001E5815">
        <w:rPr>
          <w:rFonts w:ascii="Arial Narrow" w:hAnsi="Arial Narrow" w:cs="Andalus"/>
          <w:szCs w:val="24"/>
        </w:rPr>
        <w:t xml:space="preserve"> </w:t>
      </w:r>
      <w:r w:rsidR="00C717B8" w:rsidRPr="001E5815">
        <w:rPr>
          <w:rFonts w:ascii="Arial Narrow" w:hAnsi="Arial Narrow" w:cs="Andalus"/>
          <w:szCs w:val="24"/>
        </w:rPr>
        <w:t xml:space="preserve">This section should contain </w:t>
      </w:r>
      <w:r w:rsidR="00412386">
        <w:rPr>
          <w:rFonts w:ascii="Arial Narrow" w:hAnsi="Arial Narrow" w:cs="Andalus"/>
          <w:szCs w:val="24"/>
        </w:rPr>
        <w:t xml:space="preserve">information </w:t>
      </w:r>
      <w:r w:rsidR="00C717B8" w:rsidRPr="001E5815">
        <w:rPr>
          <w:rFonts w:ascii="Arial Narrow" w:hAnsi="Arial Narrow" w:cs="Andalus"/>
          <w:szCs w:val="24"/>
        </w:rPr>
        <w:t xml:space="preserve">not only dealing with police procedure but </w:t>
      </w:r>
      <w:r w:rsidR="00412386">
        <w:rPr>
          <w:rFonts w:ascii="Arial Narrow" w:hAnsi="Arial Narrow" w:cs="Andalus"/>
          <w:szCs w:val="24"/>
        </w:rPr>
        <w:t xml:space="preserve">also relating to the whole </w:t>
      </w:r>
      <w:r w:rsidR="00C717B8" w:rsidRPr="001E5815">
        <w:rPr>
          <w:rFonts w:ascii="Arial Narrow" w:hAnsi="Arial Narrow" w:cs="Andalus"/>
          <w:szCs w:val="24"/>
        </w:rPr>
        <w:t>proceedings</w:t>
      </w:r>
      <w:r w:rsidR="00412386">
        <w:rPr>
          <w:rFonts w:ascii="Arial Narrow" w:hAnsi="Arial Narrow" w:cs="Andalus"/>
          <w:szCs w:val="24"/>
        </w:rPr>
        <w:t>. F</w:t>
      </w:r>
      <w:r w:rsidR="00C717B8" w:rsidRPr="001E5815">
        <w:rPr>
          <w:rFonts w:ascii="Arial Narrow" w:hAnsi="Arial Narrow" w:cs="Andalus"/>
          <w:szCs w:val="24"/>
        </w:rPr>
        <w:t>or example</w:t>
      </w:r>
      <w:r w:rsidR="00412386">
        <w:rPr>
          <w:rFonts w:ascii="Arial Narrow" w:hAnsi="Arial Narrow" w:cs="Andalus"/>
          <w:szCs w:val="24"/>
        </w:rPr>
        <w:t>;</w:t>
      </w:r>
      <w:r w:rsidR="00C717B8" w:rsidRPr="001E5815">
        <w:rPr>
          <w:rFonts w:ascii="Arial Narrow" w:hAnsi="Arial Narrow" w:cs="Andalus"/>
          <w:szCs w:val="24"/>
        </w:rPr>
        <w:t xml:space="preserve"> </w:t>
      </w:r>
      <w:r w:rsidR="00510248" w:rsidRPr="001E5815">
        <w:rPr>
          <w:rFonts w:ascii="Arial Narrow" w:hAnsi="Arial Narrow" w:cs="Andalus"/>
          <w:szCs w:val="24"/>
        </w:rPr>
        <w:t>appeal</w:t>
      </w:r>
      <w:r w:rsidR="00C717B8" w:rsidRPr="001E5815">
        <w:rPr>
          <w:rFonts w:ascii="Arial Narrow" w:hAnsi="Arial Narrow" w:cs="Andalus"/>
          <w:szCs w:val="24"/>
        </w:rPr>
        <w:t>s</w:t>
      </w:r>
      <w:r w:rsidR="00510248" w:rsidRPr="001E5815">
        <w:rPr>
          <w:rFonts w:ascii="Arial Narrow" w:hAnsi="Arial Narrow" w:cs="Andalus"/>
          <w:szCs w:val="24"/>
        </w:rPr>
        <w:t xml:space="preserve"> to the High Court</w:t>
      </w:r>
      <w:r w:rsidR="00412386">
        <w:rPr>
          <w:rFonts w:ascii="Arial Narrow" w:hAnsi="Arial Narrow" w:cs="Andalus"/>
          <w:szCs w:val="24"/>
        </w:rPr>
        <w:t>,</w:t>
      </w:r>
      <w:r w:rsidR="00C717B8" w:rsidRPr="001E5815">
        <w:rPr>
          <w:rFonts w:ascii="Arial Narrow" w:hAnsi="Arial Narrow" w:cs="Andalus"/>
          <w:szCs w:val="24"/>
        </w:rPr>
        <w:t xml:space="preserve"> </w:t>
      </w:r>
      <w:r w:rsidR="00510248" w:rsidRPr="001E5815">
        <w:rPr>
          <w:rFonts w:ascii="Arial Narrow" w:hAnsi="Arial Narrow" w:cs="Andalus"/>
          <w:szCs w:val="24"/>
        </w:rPr>
        <w:t>police complaints procedure for unlawful detention</w:t>
      </w:r>
      <w:r w:rsidR="00412386">
        <w:rPr>
          <w:rFonts w:ascii="Arial Narrow" w:hAnsi="Arial Narrow" w:cs="Andalus"/>
          <w:szCs w:val="24"/>
        </w:rPr>
        <w:t>,</w:t>
      </w:r>
      <w:r w:rsidR="00C717B8" w:rsidRPr="001E5815">
        <w:rPr>
          <w:rFonts w:ascii="Arial Narrow" w:hAnsi="Arial Narrow" w:cs="Andalus"/>
          <w:szCs w:val="24"/>
        </w:rPr>
        <w:t xml:space="preserve"> access to materials to allow challenge to detention</w:t>
      </w:r>
      <w:r w:rsidR="00510248" w:rsidRPr="001E5815">
        <w:rPr>
          <w:rFonts w:ascii="Arial Narrow" w:hAnsi="Arial Narrow" w:cs="Andalus"/>
          <w:szCs w:val="24"/>
        </w:rPr>
        <w:t xml:space="preserve"> and also civil litigation.</w:t>
      </w:r>
    </w:p>
    <w:p w:rsidR="00510248" w:rsidRPr="001E5815" w:rsidRDefault="00510248" w:rsidP="00510248">
      <w:pPr>
        <w:rPr>
          <w:rFonts w:ascii="Arial Narrow" w:hAnsi="Arial Narrow" w:cs="Andalus"/>
          <w:szCs w:val="24"/>
        </w:rPr>
      </w:pPr>
    </w:p>
    <w:p w:rsidR="00C717B8" w:rsidRPr="001E5815" w:rsidRDefault="00C717B8" w:rsidP="00C717B8">
      <w:pPr>
        <w:pStyle w:val="ListParagraph"/>
        <w:numPr>
          <w:ilvl w:val="0"/>
          <w:numId w:val="5"/>
        </w:numPr>
        <w:rPr>
          <w:rFonts w:ascii="Arial Narrow" w:hAnsi="Arial Narrow" w:cs="Andalus"/>
          <w:szCs w:val="24"/>
        </w:rPr>
      </w:pPr>
      <w:r w:rsidRPr="001E5815">
        <w:rPr>
          <w:rFonts w:ascii="Arial Narrow" w:hAnsi="Arial Narrow" w:cs="Andalus"/>
          <w:szCs w:val="24"/>
        </w:rPr>
        <w:t>The R</w:t>
      </w:r>
      <w:r w:rsidR="00510248" w:rsidRPr="001E5815">
        <w:rPr>
          <w:rFonts w:ascii="Arial Narrow" w:hAnsi="Arial Narrow" w:cs="Andalus"/>
          <w:szCs w:val="24"/>
        </w:rPr>
        <w:t xml:space="preserve">ight to </w:t>
      </w:r>
      <w:r w:rsidRPr="001E5815">
        <w:rPr>
          <w:rFonts w:ascii="Arial Narrow" w:hAnsi="Arial Narrow" w:cs="Andalus"/>
          <w:szCs w:val="24"/>
        </w:rPr>
        <w:t>compensation if the arrest is in contravention of the Convention</w:t>
      </w:r>
    </w:p>
    <w:p w:rsidR="00510248" w:rsidRPr="001E5815" w:rsidRDefault="00510248" w:rsidP="00510248">
      <w:pPr>
        <w:rPr>
          <w:rFonts w:ascii="Arial Narrow" w:hAnsi="Arial Narrow" w:cs="Andalus"/>
          <w:szCs w:val="24"/>
        </w:rPr>
      </w:pPr>
    </w:p>
    <w:p w:rsidR="00C717B8" w:rsidRPr="001E5815" w:rsidRDefault="00C717B8" w:rsidP="00C717B8">
      <w:pPr>
        <w:rPr>
          <w:rFonts w:ascii="Arial Narrow" w:hAnsi="Arial Narrow" w:cs="Andalus"/>
          <w:szCs w:val="24"/>
        </w:rPr>
      </w:pPr>
      <w:r w:rsidRPr="001E5815">
        <w:rPr>
          <w:rFonts w:ascii="Arial Narrow" w:hAnsi="Arial Narrow" w:cs="Andalus"/>
          <w:szCs w:val="24"/>
        </w:rPr>
        <w:t xml:space="preserve">Art 5 (5) of the European Convention of Human Rights states: </w:t>
      </w:r>
    </w:p>
    <w:p w:rsidR="00C717B8" w:rsidRPr="001E5815" w:rsidRDefault="00C717B8" w:rsidP="00C717B8">
      <w:pPr>
        <w:rPr>
          <w:rFonts w:ascii="Arial Narrow" w:hAnsi="Arial Narrow" w:cs="Andalus"/>
          <w:szCs w:val="24"/>
        </w:rPr>
      </w:pPr>
      <w:r w:rsidRPr="001E5815">
        <w:rPr>
          <w:rFonts w:ascii="Arial Narrow" w:hAnsi="Arial Narrow" w:cs="Andalus"/>
          <w:szCs w:val="24"/>
        </w:rPr>
        <w:t xml:space="preserve">            ” Everyone who has been the victim of arrest or detention in contravention of the provisions of this Article shall have an enforceable right to compensation.”  </w:t>
      </w:r>
    </w:p>
    <w:p w:rsidR="00C717B8" w:rsidRPr="001E5815" w:rsidRDefault="00C717B8" w:rsidP="00C717B8">
      <w:pPr>
        <w:rPr>
          <w:rFonts w:ascii="Arial Narrow" w:hAnsi="Arial Narrow" w:cs="Andalus"/>
          <w:szCs w:val="24"/>
        </w:rPr>
      </w:pPr>
    </w:p>
    <w:p w:rsidR="001E5815" w:rsidRPr="001E5815" w:rsidRDefault="001E5815" w:rsidP="001E5815">
      <w:pPr>
        <w:pStyle w:val="ListParagraph"/>
        <w:numPr>
          <w:ilvl w:val="0"/>
          <w:numId w:val="5"/>
        </w:numPr>
        <w:rPr>
          <w:rFonts w:ascii="Arial Narrow" w:hAnsi="Arial Narrow" w:cs="Andalus"/>
          <w:szCs w:val="24"/>
        </w:rPr>
      </w:pPr>
      <w:r w:rsidRPr="001E5815">
        <w:rPr>
          <w:rFonts w:ascii="Arial Narrow" w:hAnsi="Arial Narrow" w:cs="Andalus"/>
          <w:szCs w:val="24"/>
        </w:rPr>
        <w:t>Legal status, citizenship or nationality.</w:t>
      </w:r>
    </w:p>
    <w:p w:rsidR="001E5815" w:rsidRPr="001E5815" w:rsidRDefault="001E5815" w:rsidP="001E5815">
      <w:pPr>
        <w:rPr>
          <w:rFonts w:ascii="Arial Narrow" w:hAnsi="Arial Narrow" w:cs="Andalus"/>
          <w:szCs w:val="24"/>
        </w:rPr>
      </w:pPr>
      <w:r w:rsidRPr="001E5815">
        <w:rPr>
          <w:rFonts w:ascii="Arial Narrow" w:hAnsi="Arial Narrow" w:cs="Andalus"/>
          <w:szCs w:val="24"/>
        </w:rPr>
        <w:t> </w:t>
      </w:r>
    </w:p>
    <w:p w:rsidR="00510248" w:rsidRPr="001E5815" w:rsidRDefault="001E5815" w:rsidP="00510248">
      <w:pPr>
        <w:rPr>
          <w:rFonts w:ascii="Arial Narrow" w:hAnsi="Arial Narrow" w:cs="Andalus"/>
          <w:szCs w:val="24"/>
        </w:rPr>
      </w:pPr>
      <w:r w:rsidRPr="001E5815">
        <w:rPr>
          <w:rFonts w:ascii="Arial Narrow" w:hAnsi="Arial Narrow" w:cs="Andalus"/>
          <w:szCs w:val="24"/>
        </w:rPr>
        <w:t xml:space="preserve">The Commission recommends </w:t>
      </w:r>
      <w:r w:rsidR="00510248" w:rsidRPr="001E5815">
        <w:rPr>
          <w:rFonts w:ascii="Arial Narrow" w:hAnsi="Arial Narrow" w:cs="Andalus"/>
          <w:szCs w:val="24"/>
        </w:rPr>
        <w:t xml:space="preserve">including a </w:t>
      </w:r>
      <w:r w:rsidR="00412386">
        <w:rPr>
          <w:rFonts w:ascii="Arial Narrow" w:hAnsi="Arial Narrow" w:cs="Andalus"/>
          <w:szCs w:val="24"/>
        </w:rPr>
        <w:t xml:space="preserve">sentence </w:t>
      </w:r>
      <w:r w:rsidR="00510248" w:rsidRPr="001E5815">
        <w:rPr>
          <w:rFonts w:ascii="Arial Narrow" w:hAnsi="Arial Narrow" w:cs="Andalus"/>
          <w:szCs w:val="24"/>
        </w:rPr>
        <w:t>that the</w:t>
      </w:r>
      <w:r w:rsidRPr="001E5815">
        <w:rPr>
          <w:rFonts w:ascii="Arial Narrow" w:hAnsi="Arial Narrow" w:cs="Andalus"/>
          <w:szCs w:val="24"/>
        </w:rPr>
        <w:t xml:space="preserve"> rights in the Letter </w:t>
      </w:r>
      <w:r w:rsidR="00510248" w:rsidRPr="001E5815">
        <w:rPr>
          <w:rFonts w:ascii="Arial Narrow" w:hAnsi="Arial Narrow" w:cs="Andalus"/>
          <w:szCs w:val="24"/>
        </w:rPr>
        <w:t xml:space="preserve">apply to all people in custody. </w:t>
      </w:r>
    </w:p>
    <w:p w:rsidR="00510248" w:rsidRDefault="00510248" w:rsidP="00510248"/>
    <w:p w:rsidR="001E5815" w:rsidRDefault="001E5815" w:rsidP="00510248"/>
    <w:p w:rsidR="00510248" w:rsidRPr="001E5815" w:rsidRDefault="00510248" w:rsidP="00510248">
      <w:pPr>
        <w:rPr>
          <w:sz w:val="20"/>
        </w:rPr>
      </w:pPr>
      <w:r w:rsidRPr="006C3364">
        <w:rPr>
          <w:i/>
          <w:sz w:val="20"/>
          <w:u w:val="single"/>
        </w:rPr>
        <w:t>About the Commission</w:t>
      </w:r>
      <w:r w:rsidRPr="001E5815">
        <w:rPr>
          <w:i/>
          <w:sz w:val="20"/>
        </w:rPr>
        <w:t>:</w:t>
      </w:r>
      <w:r w:rsidRPr="001E5815">
        <w:rPr>
          <w:sz w:val="20"/>
        </w:rPr>
        <w:t xml:space="preserve"> The Scottish Human Rights Commission (SHRC) is the national human rights institution (</w:t>
      </w:r>
      <w:proofErr w:type="spellStart"/>
      <w:r w:rsidRPr="001E5815">
        <w:rPr>
          <w:sz w:val="20"/>
        </w:rPr>
        <w:t>NHRI</w:t>
      </w:r>
      <w:proofErr w:type="spellEnd"/>
      <w:r w:rsidRPr="001E5815">
        <w:rPr>
          <w:sz w:val="20"/>
        </w:rPr>
        <w:t xml:space="preserve">) for Scotland, accredited with A status by the International Coordinating Committee of </w:t>
      </w:r>
      <w:proofErr w:type="spellStart"/>
      <w:r w:rsidRPr="001E5815">
        <w:rPr>
          <w:sz w:val="20"/>
        </w:rPr>
        <w:t>NHRIs</w:t>
      </w:r>
      <w:proofErr w:type="spellEnd"/>
      <w:r w:rsidRPr="001E5815">
        <w:rPr>
          <w:sz w:val="20"/>
        </w:rPr>
        <w:t xml:space="preserve">. SHRC was established by an Act of the Scottish Parliament and has a general duty to promote awareness, understanding and respect for all human rights and to encourage best practice (including through education, training and awareness raising, and by publishing research). SHRC also has a number of powers including: </w:t>
      </w:r>
    </w:p>
    <w:p w:rsidR="00510248" w:rsidRPr="001E5815" w:rsidRDefault="00510248" w:rsidP="00510248">
      <w:pPr>
        <w:rPr>
          <w:sz w:val="20"/>
        </w:rPr>
      </w:pPr>
      <w:r w:rsidRPr="001E5815">
        <w:rPr>
          <w:sz w:val="20"/>
        </w:rPr>
        <w:t>-The power to conduct inquiries into the policies or practices of Scottish public authorities;</w:t>
      </w:r>
    </w:p>
    <w:p w:rsidR="00510248" w:rsidRPr="001E5815" w:rsidRDefault="00510248" w:rsidP="00510248">
      <w:pPr>
        <w:rPr>
          <w:sz w:val="20"/>
        </w:rPr>
      </w:pPr>
      <w:r w:rsidRPr="001E5815">
        <w:rPr>
          <w:sz w:val="20"/>
        </w:rPr>
        <w:t xml:space="preserve">-Recommending such changes to Scottish law, policy and practice as it considers necessary. </w:t>
      </w:r>
    </w:p>
    <w:p w:rsidR="00510248" w:rsidRPr="001E5815" w:rsidRDefault="00510248" w:rsidP="00510248">
      <w:pPr>
        <w:rPr>
          <w:sz w:val="20"/>
        </w:rPr>
      </w:pPr>
      <w:r w:rsidRPr="001E5815">
        <w:rPr>
          <w:sz w:val="20"/>
        </w:rPr>
        <w:t>-The power to enter some places of detention as part of an inquiry, and</w:t>
      </w:r>
    </w:p>
    <w:p w:rsidR="00510248" w:rsidRPr="001E5815" w:rsidRDefault="00510248" w:rsidP="00510248">
      <w:pPr>
        <w:rPr>
          <w:sz w:val="20"/>
        </w:rPr>
      </w:pPr>
      <w:r w:rsidRPr="001E5815">
        <w:rPr>
          <w:sz w:val="20"/>
        </w:rPr>
        <w:t xml:space="preserve">-The power to intervene in some civil court cases. </w:t>
      </w:r>
    </w:p>
    <w:p w:rsidR="00510248" w:rsidRPr="001E5815" w:rsidRDefault="00510248" w:rsidP="00510248">
      <w:pPr>
        <w:rPr>
          <w:sz w:val="20"/>
        </w:rPr>
      </w:pPr>
    </w:p>
    <w:p w:rsidR="00510248" w:rsidRPr="001E5815" w:rsidRDefault="00510248" w:rsidP="00510248">
      <w:pPr>
        <w:rPr>
          <w:sz w:val="20"/>
        </w:rPr>
      </w:pPr>
      <w:r w:rsidRPr="001E5815">
        <w:rPr>
          <w:sz w:val="20"/>
        </w:rPr>
        <w:t xml:space="preserve">SHRC is one of the three national human rights institutions in the UK and currently chairs the European Network of </w:t>
      </w:r>
      <w:proofErr w:type="spellStart"/>
      <w:r w:rsidRPr="001E5815">
        <w:rPr>
          <w:sz w:val="20"/>
        </w:rPr>
        <w:t>NHRIs</w:t>
      </w:r>
      <w:proofErr w:type="spellEnd"/>
      <w:r w:rsidRPr="001E5815">
        <w:rPr>
          <w:sz w:val="20"/>
        </w:rPr>
        <w:t>. SHRC is a member of the UK’s National Preventive Mechanism (</w:t>
      </w:r>
      <w:proofErr w:type="spellStart"/>
      <w:r w:rsidRPr="001E5815">
        <w:rPr>
          <w:sz w:val="20"/>
        </w:rPr>
        <w:t>NPM</w:t>
      </w:r>
      <w:proofErr w:type="spellEnd"/>
      <w:r w:rsidRPr="001E5815">
        <w:rPr>
          <w:sz w:val="20"/>
        </w:rPr>
        <w:t>) designated in accordance with the Optional Protocol to the Convention against Torture and Other Cruel, Inhuman or Degrading Treatment or Punishment (</w:t>
      </w:r>
      <w:proofErr w:type="spellStart"/>
      <w:r w:rsidRPr="001E5815">
        <w:rPr>
          <w:sz w:val="20"/>
        </w:rPr>
        <w:t>OPCAT</w:t>
      </w:r>
      <w:proofErr w:type="spellEnd"/>
      <w:r w:rsidRPr="001E5815">
        <w:rPr>
          <w:sz w:val="20"/>
        </w:rPr>
        <w:t>).</w:t>
      </w:r>
    </w:p>
    <w:p w:rsidR="00510248" w:rsidRPr="001E5815" w:rsidRDefault="00510248" w:rsidP="00510248">
      <w:pPr>
        <w:rPr>
          <w:sz w:val="20"/>
        </w:rPr>
      </w:pPr>
    </w:p>
    <w:p w:rsidR="00510248" w:rsidRPr="001E5815" w:rsidRDefault="00510248" w:rsidP="00510248">
      <w:pPr>
        <w:rPr>
          <w:sz w:val="20"/>
        </w:rPr>
      </w:pPr>
      <w:r w:rsidRPr="001E5815">
        <w:rPr>
          <w:sz w:val="20"/>
        </w:rPr>
        <w:t>Contact:</w:t>
      </w:r>
      <w:r w:rsidR="00230861">
        <w:rPr>
          <w:sz w:val="20"/>
        </w:rPr>
        <w:t xml:space="preserve"> </w:t>
      </w:r>
      <w:r w:rsidRPr="001E5815">
        <w:rPr>
          <w:sz w:val="20"/>
        </w:rPr>
        <w:t xml:space="preserve">Diego Quiroz, Policy Officer, Scottish Human Rights Commission, 4 Melville Street, Edinburgh, </w:t>
      </w:r>
      <w:proofErr w:type="spellStart"/>
      <w:r w:rsidRPr="001E5815">
        <w:rPr>
          <w:sz w:val="20"/>
        </w:rPr>
        <w:t>EH3</w:t>
      </w:r>
      <w:proofErr w:type="spellEnd"/>
      <w:r w:rsidRPr="001E5815">
        <w:rPr>
          <w:sz w:val="20"/>
        </w:rPr>
        <w:t xml:space="preserve"> </w:t>
      </w:r>
      <w:proofErr w:type="spellStart"/>
      <w:r w:rsidRPr="001E5815">
        <w:rPr>
          <w:sz w:val="20"/>
        </w:rPr>
        <w:t>7NS</w:t>
      </w:r>
      <w:proofErr w:type="spellEnd"/>
      <w:r w:rsidRPr="001E5815">
        <w:rPr>
          <w:sz w:val="20"/>
        </w:rPr>
        <w:t>, Scotland, Diego.Quiroz@scottishhumanrights.com, +44 (0)131 240</w:t>
      </w:r>
    </w:p>
    <w:sectPr w:rsidR="00510248" w:rsidRPr="001E5815" w:rsidSect="00AB54FF">
      <w:headerReference w:type="default" r:id="rId10"/>
      <w:footerReference w:type="default" r:id="rId11"/>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386" w:rsidRDefault="00412386">
      <w:pPr>
        <w:spacing w:line="240" w:lineRule="auto"/>
      </w:pPr>
      <w:r>
        <w:separator/>
      </w:r>
    </w:p>
  </w:endnote>
  <w:endnote w:type="continuationSeparator" w:id="0">
    <w:p w:rsidR="00412386" w:rsidRDefault="004123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386" w:rsidRPr="0067486A" w:rsidRDefault="00412386"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386" w:rsidRDefault="00412386">
      <w:pPr>
        <w:spacing w:line="240" w:lineRule="auto"/>
      </w:pPr>
      <w:r>
        <w:separator/>
      </w:r>
    </w:p>
  </w:footnote>
  <w:footnote w:type="continuationSeparator" w:id="0">
    <w:p w:rsidR="00412386" w:rsidRDefault="0041238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386" w:rsidRPr="0067486A" w:rsidRDefault="00412386"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19173236"/>
    <w:multiLevelType w:val="hybridMultilevel"/>
    <w:tmpl w:val="8F680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0"/>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248"/>
    <w:rsid w:val="00100021"/>
    <w:rsid w:val="001267F7"/>
    <w:rsid w:val="00157346"/>
    <w:rsid w:val="00192DC7"/>
    <w:rsid w:val="001D4230"/>
    <w:rsid w:val="001E5815"/>
    <w:rsid w:val="00230861"/>
    <w:rsid w:val="002C1F2D"/>
    <w:rsid w:val="002F3688"/>
    <w:rsid w:val="003A51C8"/>
    <w:rsid w:val="003F2479"/>
    <w:rsid w:val="00411FC4"/>
    <w:rsid w:val="00412386"/>
    <w:rsid w:val="00510248"/>
    <w:rsid w:val="00561822"/>
    <w:rsid w:val="005B236E"/>
    <w:rsid w:val="0067486A"/>
    <w:rsid w:val="006C3364"/>
    <w:rsid w:val="006D26F7"/>
    <w:rsid w:val="007A210D"/>
    <w:rsid w:val="009322CE"/>
    <w:rsid w:val="00952710"/>
    <w:rsid w:val="009919A4"/>
    <w:rsid w:val="009E040D"/>
    <w:rsid w:val="009F71B8"/>
    <w:rsid w:val="00A4623C"/>
    <w:rsid w:val="00A56EBA"/>
    <w:rsid w:val="00A90A53"/>
    <w:rsid w:val="00AB54FF"/>
    <w:rsid w:val="00AC310B"/>
    <w:rsid w:val="00AE01CB"/>
    <w:rsid w:val="00BC7B34"/>
    <w:rsid w:val="00C717B8"/>
    <w:rsid w:val="00C86FBA"/>
    <w:rsid w:val="00E3599D"/>
    <w:rsid w:val="00E36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BalloonText">
    <w:name w:val="Balloon Text"/>
    <w:basedOn w:val="Normal"/>
    <w:link w:val="BalloonTextChar"/>
    <w:uiPriority w:val="99"/>
    <w:semiHidden/>
    <w:unhideWhenUsed/>
    <w:rsid w:val="005102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248"/>
    <w:rPr>
      <w:rFonts w:ascii="Tahoma" w:hAnsi="Tahoma" w:cs="Tahoma"/>
      <w:sz w:val="16"/>
      <w:szCs w:val="16"/>
      <w:lang w:eastAsia="en-US"/>
    </w:rPr>
  </w:style>
  <w:style w:type="paragraph" w:styleId="ListParagraph">
    <w:name w:val="List Paragraph"/>
    <w:basedOn w:val="Normal"/>
    <w:uiPriority w:val="34"/>
    <w:qFormat/>
    <w:rsid w:val="00A462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BalloonText">
    <w:name w:val="Balloon Text"/>
    <w:basedOn w:val="Normal"/>
    <w:link w:val="BalloonTextChar"/>
    <w:uiPriority w:val="99"/>
    <w:semiHidden/>
    <w:unhideWhenUsed/>
    <w:rsid w:val="005102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248"/>
    <w:rPr>
      <w:rFonts w:ascii="Tahoma" w:hAnsi="Tahoma" w:cs="Tahoma"/>
      <w:sz w:val="16"/>
      <w:szCs w:val="16"/>
      <w:lang w:eastAsia="en-US"/>
    </w:rPr>
  </w:style>
  <w:style w:type="paragraph" w:styleId="ListParagraph">
    <w:name w:val="List Paragraph"/>
    <w:basedOn w:val="Normal"/>
    <w:uiPriority w:val="34"/>
    <w:qFormat/>
    <w:rsid w:val="00A462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25481">
      <w:bodyDiv w:val="1"/>
      <w:marLeft w:val="0"/>
      <w:marRight w:val="0"/>
      <w:marTop w:val="0"/>
      <w:marBottom w:val="0"/>
      <w:divBdr>
        <w:top w:val="none" w:sz="0" w:space="0" w:color="auto"/>
        <w:left w:val="none" w:sz="0" w:space="0" w:color="auto"/>
        <w:bottom w:val="none" w:sz="0" w:space="0" w:color="auto"/>
        <w:right w:val="none" w:sz="0" w:space="0" w:color="auto"/>
      </w:divBdr>
    </w:div>
    <w:div w:id="193223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ABA1C-2B6C-4B45-9F04-AC488D245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4440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n333739</dc:creator>
  <cp:lastModifiedBy>n320070</cp:lastModifiedBy>
  <cp:revision>2</cp:revision>
  <cp:lastPrinted>2014-07-25T08:41:00Z</cp:lastPrinted>
  <dcterms:created xsi:type="dcterms:W3CDTF">2014-07-25T11:28:00Z</dcterms:created>
  <dcterms:modified xsi:type="dcterms:W3CDTF">2014-07-25T11:28:00Z</dcterms:modified>
</cp:coreProperties>
</file>