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2EF" w:rsidRPr="00335653" w:rsidRDefault="009232EF" w:rsidP="009232EF">
      <w:pPr>
        <w:jc w:val="center"/>
        <w:rPr>
          <w:rFonts w:cs="Arial"/>
          <w:b/>
          <w:szCs w:val="24"/>
        </w:rPr>
      </w:pPr>
      <w:bookmarkStart w:id="0" w:name="_GoBack"/>
      <w:bookmarkEnd w:id="0"/>
      <w:r w:rsidRPr="00335653">
        <w:rPr>
          <w:rFonts w:cs="Arial"/>
          <w:b/>
          <w:szCs w:val="24"/>
        </w:rPr>
        <w:t>Post-corroboration Safeguards Review</w:t>
      </w:r>
    </w:p>
    <w:p w:rsidR="009232EF" w:rsidRPr="00335653" w:rsidRDefault="009232EF" w:rsidP="009232EF">
      <w:pPr>
        <w:jc w:val="center"/>
        <w:rPr>
          <w:rFonts w:cs="Arial"/>
          <w:b/>
          <w:szCs w:val="24"/>
        </w:rPr>
      </w:pPr>
    </w:p>
    <w:p w:rsidR="009232EF" w:rsidRPr="00335653" w:rsidRDefault="009232EF" w:rsidP="009232EF">
      <w:pPr>
        <w:jc w:val="center"/>
        <w:rPr>
          <w:rFonts w:cs="Arial"/>
          <w:b/>
          <w:szCs w:val="24"/>
        </w:rPr>
      </w:pPr>
      <w:r w:rsidRPr="00335653">
        <w:rPr>
          <w:rFonts w:cs="Arial"/>
          <w:b/>
          <w:szCs w:val="24"/>
        </w:rPr>
        <w:t>Consultation Response Form</w:t>
      </w:r>
    </w:p>
    <w:p w:rsidR="009232EF" w:rsidRPr="00335653" w:rsidRDefault="009232EF" w:rsidP="009232EF">
      <w:pPr>
        <w:jc w:val="center"/>
        <w:rPr>
          <w:rFonts w:cs="Arial"/>
          <w:b/>
          <w:szCs w:val="24"/>
        </w:rPr>
      </w:pPr>
    </w:p>
    <w:p w:rsidR="009232EF" w:rsidRPr="00335653" w:rsidRDefault="009232EF" w:rsidP="009232EF">
      <w:pPr>
        <w:jc w:val="left"/>
        <w:rPr>
          <w:rFonts w:cs="Arial"/>
          <w:b/>
          <w:szCs w:val="24"/>
        </w:rPr>
      </w:pPr>
    </w:p>
    <w:p w:rsidR="009232EF" w:rsidRPr="00335653" w:rsidRDefault="009232EF" w:rsidP="009232EF">
      <w:pPr>
        <w:jc w:val="left"/>
        <w:rPr>
          <w:rFonts w:cs="Arial"/>
          <w:b/>
          <w:szCs w:val="24"/>
        </w:rPr>
      </w:pPr>
    </w:p>
    <w:p w:rsidR="009232EF" w:rsidRPr="00335653" w:rsidRDefault="00AD0187" w:rsidP="009232EF">
      <w:pPr>
        <w:autoSpaceDE w:val="0"/>
        <w:autoSpaceDN w:val="0"/>
        <w:adjustRightInd w:val="0"/>
        <w:jc w:val="left"/>
        <w:rPr>
          <w:rFonts w:cs="Arial"/>
          <w:color w:val="000000"/>
          <w:szCs w:val="24"/>
        </w:rPr>
      </w:pPr>
      <w:r w:rsidRPr="00335653">
        <w:rPr>
          <w:rFonts w:cs="Arial"/>
          <w:color w:val="000000"/>
          <w:szCs w:val="24"/>
          <w:u w:val="single"/>
        </w:rPr>
        <w:t>Please n</w:t>
      </w:r>
      <w:r w:rsidR="009232EF" w:rsidRPr="00335653">
        <w:rPr>
          <w:rFonts w:cs="Arial"/>
          <w:color w:val="000000"/>
          <w:szCs w:val="24"/>
          <w:u w:val="single"/>
        </w:rPr>
        <w:t>ote</w:t>
      </w:r>
      <w:r w:rsidR="009232EF" w:rsidRPr="00335653">
        <w:rPr>
          <w:rFonts w:cs="Arial"/>
          <w:color w:val="000000"/>
          <w:szCs w:val="24"/>
        </w:rPr>
        <w:t xml:space="preserve"> this form </w:t>
      </w:r>
      <w:r w:rsidR="009232EF" w:rsidRPr="00335653">
        <w:rPr>
          <w:rFonts w:cs="Arial"/>
          <w:b/>
          <w:bCs/>
          <w:color w:val="000000"/>
          <w:szCs w:val="24"/>
        </w:rPr>
        <w:t>MUST</w:t>
      </w:r>
      <w:r w:rsidR="009232EF" w:rsidRPr="00335653">
        <w:rPr>
          <w:rFonts w:cs="Arial"/>
          <w:color w:val="000000"/>
          <w:szCs w:val="24"/>
        </w:rPr>
        <w:t xml:space="preserve"> be returned with your response to ensure that we handle your response appropriately.    </w:t>
      </w:r>
    </w:p>
    <w:p w:rsidR="009232EF" w:rsidRPr="00335653" w:rsidRDefault="009232EF" w:rsidP="009232EF">
      <w:pPr>
        <w:jc w:val="left"/>
        <w:rPr>
          <w:rFonts w:cs="Arial"/>
          <w:b/>
          <w:szCs w:val="24"/>
        </w:rPr>
      </w:pPr>
    </w:p>
    <w:p w:rsidR="009232EF" w:rsidRPr="00335653" w:rsidRDefault="009232EF" w:rsidP="009232EF">
      <w:pPr>
        <w:jc w:val="left"/>
        <w:rPr>
          <w:rFonts w:cs="Arial"/>
          <w:b/>
          <w:szCs w:val="24"/>
        </w:rPr>
      </w:pPr>
    </w:p>
    <w:p w:rsidR="009232EF" w:rsidRPr="00335653" w:rsidRDefault="009232EF" w:rsidP="009232EF">
      <w:pPr>
        <w:jc w:val="left"/>
        <w:rPr>
          <w:rFonts w:cs="Arial"/>
          <w:b/>
          <w:szCs w:val="24"/>
          <w:u w:val="single"/>
        </w:rPr>
      </w:pPr>
      <w:r w:rsidRPr="00335653">
        <w:rPr>
          <w:rFonts w:cs="Arial"/>
          <w:b/>
          <w:szCs w:val="24"/>
        </w:rPr>
        <w:t xml:space="preserve">Part 1-  Complete this part if you are responding as an </w:t>
      </w:r>
      <w:r w:rsidRPr="00335653">
        <w:rPr>
          <w:rFonts w:cs="Arial"/>
          <w:b/>
          <w:szCs w:val="24"/>
          <w:u w:val="single"/>
        </w:rPr>
        <w:t>individual:</w:t>
      </w:r>
    </w:p>
    <w:p w:rsidR="009232EF" w:rsidRPr="00335653" w:rsidRDefault="009232EF" w:rsidP="009232EF">
      <w:pPr>
        <w:jc w:val="left"/>
        <w:rPr>
          <w:rFonts w:cs="Arial"/>
          <w:b/>
          <w:szCs w:val="24"/>
          <w:u w:val="single"/>
        </w:rPr>
      </w:pPr>
    </w:p>
    <w:p w:rsidR="009232EF" w:rsidRPr="00335653" w:rsidRDefault="009232EF" w:rsidP="009232EF">
      <w:pPr>
        <w:jc w:val="left"/>
        <w:rPr>
          <w:rFonts w:cs="Arial"/>
          <w:b/>
          <w:szCs w:val="24"/>
        </w:rPr>
      </w:pPr>
    </w:p>
    <w:p w:rsidR="009232EF" w:rsidRPr="00335653" w:rsidRDefault="009232EF" w:rsidP="009232EF">
      <w:pPr>
        <w:jc w:val="left"/>
        <w:rPr>
          <w:rFonts w:cs="Arial"/>
          <w:szCs w:val="24"/>
          <w:u w:val="single"/>
        </w:rPr>
      </w:pPr>
      <w:r w:rsidRPr="00335653">
        <w:rPr>
          <w:rFonts w:cs="Arial"/>
          <w:szCs w:val="24"/>
          <w:u w:val="single"/>
        </w:rPr>
        <w:t>Title (Mr/Mrs etc):</w:t>
      </w:r>
    </w:p>
    <w:p w:rsidR="009232EF" w:rsidRPr="00335653" w:rsidRDefault="009232EF" w:rsidP="009232EF">
      <w:pPr>
        <w:jc w:val="left"/>
        <w:rPr>
          <w:rFonts w:cs="Arial"/>
          <w:szCs w:val="24"/>
        </w:rPr>
      </w:pPr>
    </w:p>
    <w:p w:rsidR="009232EF" w:rsidRPr="00335653" w:rsidRDefault="009232EF" w:rsidP="009232EF">
      <w:pPr>
        <w:jc w:val="left"/>
        <w:rPr>
          <w:rFonts w:cs="Arial"/>
          <w:szCs w:val="24"/>
          <w:u w:val="single"/>
        </w:rPr>
      </w:pPr>
      <w:r w:rsidRPr="00335653">
        <w:rPr>
          <w:rFonts w:cs="Arial"/>
          <w:szCs w:val="24"/>
          <w:u w:val="single"/>
        </w:rPr>
        <w:t>Full name:</w:t>
      </w:r>
    </w:p>
    <w:p w:rsidR="009232EF" w:rsidRPr="00335653" w:rsidRDefault="009232EF" w:rsidP="009232EF">
      <w:pPr>
        <w:jc w:val="left"/>
        <w:rPr>
          <w:rFonts w:cs="Arial"/>
          <w:szCs w:val="24"/>
        </w:rPr>
      </w:pPr>
    </w:p>
    <w:p w:rsidR="009232EF" w:rsidRPr="00335653" w:rsidRDefault="009232EF" w:rsidP="009232EF">
      <w:pPr>
        <w:jc w:val="left"/>
        <w:rPr>
          <w:rFonts w:cs="Arial"/>
          <w:szCs w:val="24"/>
          <w:u w:val="single"/>
        </w:rPr>
      </w:pPr>
      <w:r w:rsidRPr="00335653">
        <w:rPr>
          <w:rFonts w:cs="Arial"/>
          <w:szCs w:val="24"/>
          <w:u w:val="single"/>
        </w:rPr>
        <w:t xml:space="preserve">Preferred contact details (eg email address): </w:t>
      </w:r>
    </w:p>
    <w:p w:rsidR="009232EF" w:rsidRPr="00335653" w:rsidRDefault="009232EF" w:rsidP="009232EF">
      <w:pPr>
        <w:jc w:val="left"/>
        <w:rPr>
          <w:rFonts w:cs="Arial"/>
          <w:b/>
          <w:szCs w:val="24"/>
        </w:rPr>
      </w:pPr>
    </w:p>
    <w:p w:rsidR="009232EF" w:rsidRPr="00335653" w:rsidRDefault="009232EF" w:rsidP="009232EF">
      <w:pPr>
        <w:jc w:val="left"/>
        <w:rPr>
          <w:rFonts w:cs="Arial"/>
          <w:szCs w:val="24"/>
          <w:u w:val="single"/>
        </w:rPr>
      </w:pPr>
      <w:r w:rsidRPr="00335653">
        <w:rPr>
          <w:rFonts w:cs="Arial"/>
          <w:szCs w:val="24"/>
          <w:u w:val="single"/>
        </w:rPr>
        <w:t>Do you agree to your response being published on the Review’s website?</w:t>
      </w:r>
    </w:p>
    <w:p w:rsidR="009232EF" w:rsidRPr="00335653" w:rsidRDefault="009232EF" w:rsidP="009232EF">
      <w:pPr>
        <w:jc w:val="left"/>
        <w:rPr>
          <w:rFonts w:cs="Arial"/>
          <w:szCs w:val="24"/>
        </w:rPr>
      </w:pPr>
    </w:p>
    <w:p w:rsidR="009232EF" w:rsidRPr="00335653" w:rsidRDefault="009232EF" w:rsidP="009232EF">
      <w:pPr>
        <w:jc w:val="left"/>
        <w:rPr>
          <w:rFonts w:cs="Arial"/>
          <w:szCs w:val="24"/>
        </w:rPr>
      </w:pPr>
      <w:r w:rsidRPr="00335653">
        <w:rPr>
          <w:rFonts w:cs="Arial"/>
          <w:i/>
          <w:szCs w:val="24"/>
        </w:rPr>
        <w:t>Please delete as appropriate</w:t>
      </w:r>
      <w:r w:rsidRPr="00335653">
        <w:rPr>
          <w:rFonts w:cs="Arial"/>
          <w:szCs w:val="24"/>
        </w:rPr>
        <w:t xml:space="preserve">  </w:t>
      </w:r>
      <w:r w:rsidRPr="00335653">
        <w:rPr>
          <w:rFonts w:cs="Arial"/>
          <w:b/>
          <w:szCs w:val="24"/>
        </w:rPr>
        <w:t>YES  / NO</w:t>
      </w:r>
    </w:p>
    <w:p w:rsidR="009232EF" w:rsidRPr="00335653" w:rsidRDefault="009232EF" w:rsidP="009232EF">
      <w:pPr>
        <w:jc w:val="left"/>
        <w:rPr>
          <w:rFonts w:cs="Arial"/>
          <w:szCs w:val="24"/>
        </w:rPr>
      </w:pPr>
    </w:p>
    <w:p w:rsidR="009232EF" w:rsidRPr="00335653" w:rsidRDefault="009232EF" w:rsidP="009232EF">
      <w:pPr>
        <w:jc w:val="left"/>
        <w:rPr>
          <w:rFonts w:cs="Arial"/>
          <w:szCs w:val="24"/>
          <w:u w:val="single"/>
        </w:rPr>
      </w:pPr>
      <w:r w:rsidRPr="00335653">
        <w:rPr>
          <w:rFonts w:cs="Arial"/>
          <w:szCs w:val="24"/>
          <w:u w:val="single"/>
        </w:rPr>
        <w:t>If yes, do you also consent to your name being published along with your response?</w:t>
      </w:r>
    </w:p>
    <w:p w:rsidR="009232EF" w:rsidRPr="00335653" w:rsidRDefault="009232EF" w:rsidP="009232EF">
      <w:pPr>
        <w:jc w:val="left"/>
        <w:rPr>
          <w:rFonts w:cs="Arial"/>
          <w:szCs w:val="24"/>
        </w:rPr>
      </w:pPr>
    </w:p>
    <w:p w:rsidR="009232EF" w:rsidRPr="00335653" w:rsidRDefault="009232EF" w:rsidP="009232EF">
      <w:pPr>
        <w:jc w:val="left"/>
        <w:rPr>
          <w:rFonts w:cs="Arial"/>
          <w:szCs w:val="24"/>
        </w:rPr>
      </w:pPr>
      <w:r w:rsidRPr="00335653">
        <w:rPr>
          <w:rFonts w:cs="Arial"/>
          <w:i/>
          <w:szCs w:val="24"/>
        </w:rPr>
        <w:t>Please delete as appropriate</w:t>
      </w:r>
      <w:r w:rsidRPr="00335653">
        <w:rPr>
          <w:rFonts w:cs="Arial"/>
          <w:szCs w:val="24"/>
        </w:rPr>
        <w:t xml:space="preserve">  </w:t>
      </w:r>
      <w:r w:rsidRPr="00335653">
        <w:rPr>
          <w:rFonts w:cs="Arial"/>
          <w:b/>
          <w:szCs w:val="24"/>
        </w:rPr>
        <w:t>YES  / NO</w:t>
      </w:r>
    </w:p>
    <w:p w:rsidR="009232EF" w:rsidRPr="00335653" w:rsidRDefault="009232EF" w:rsidP="009232EF">
      <w:pPr>
        <w:jc w:val="left"/>
        <w:rPr>
          <w:rFonts w:cs="Arial"/>
          <w:b/>
          <w:szCs w:val="24"/>
        </w:rPr>
      </w:pPr>
    </w:p>
    <w:p w:rsidR="009232EF" w:rsidRPr="00335653" w:rsidRDefault="009232EF" w:rsidP="009232EF">
      <w:pPr>
        <w:jc w:val="left"/>
        <w:rPr>
          <w:rFonts w:cs="Arial"/>
          <w:b/>
          <w:szCs w:val="24"/>
        </w:rPr>
      </w:pPr>
    </w:p>
    <w:p w:rsidR="00B811F2" w:rsidRPr="00335653" w:rsidRDefault="00B811F2" w:rsidP="009232EF">
      <w:pPr>
        <w:jc w:val="left"/>
        <w:rPr>
          <w:rFonts w:cs="Arial"/>
          <w:b/>
          <w:szCs w:val="24"/>
        </w:rPr>
      </w:pPr>
    </w:p>
    <w:p w:rsidR="009232EF" w:rsidRPr="00335653" w:rsidRDefault="009232EF" w:rsidP="009232EF">
      <w:pPr>
        <w:jc w:val="left"/>
        <w:rPr>
          <w:rFonts w:cs="Arial"/>
          <w:b/>
          <w:szCs w:val="24"/>
          <w:u w:val="single"/>
        </w:rPr>
      </w:pPr>
      <w:r w:rsidRPr="00335653">
        <w:rPr>
          <w:rFonts w:cs="Arial"/>
          <w:b/>
          <w:szCs w:val="24"/>
        </w:rPr>
        <w:t xml:space="preserve">Part 2 – Complete this part if you are responding on behalf of an </w:t>
      </w:r>
      <w:r w:rsidRPr="00335653">
        <w:rPr>
          <w:rFonts w:cs="Arial"/>
          <w:b/>
          <w:szCs w:val="24"/>
          <w:u w:val="single"/>
        </w:rPr>
        <w:t>organisation:</w:t>
      </w:r>
    </w:p>
    <w:p w:rsidR="009232EF" w:rsidRPr="00335653" w:rsidRDefault="009232EF" w:rsidP="009232EF">
      <w:pPr>
        <w:jc w:val="left"/>
        <w:rPr>
          <w:rFonts w:cs="Arial"/>
          <w:b/>
          <w:szCs w:val="24"/>
          <w:u w:val="single"/>
        </w:rPr>
      </w:pPr>
    </w:p>
    <w:p w:rsidR="009232EF" w:rsidRPr="00335653" w:rsidRDefault="009232EF" w:rsidP="009232EF">
      <w:pPr>
        <w:jc w:val="left"/>
        <w:rPr>
          <w:rFonts w:cs="Arial"/>
          <w:b/>
          <w:szCs w:val="24"/>
          <w:u w:val="single"/>
        </w:rPr>
      </w:pPr>
    </w:p>
    <w:p w:rsidR="009232EF" w:rsidRPr="00335653" w:rsidRDefault="009232EF" w:rsidP="009232EF">
      <w:pPr>
        <w:jc w:val="left"/>
        <w:rPr>
          <w:rFonts w:cs="Arial"/>
          <w:szCs w:val="24"/>
        </w:rPr>
      </w:pPr>
      <w:r w:rsidRPr="00335653">
        <w:rPr>
          <w:rFonts w:cs="Arial"/>
          <w:szCs w:val="24"/>
          <w:u w:val="single"/>
        </w:rPr>
        <w:t>Name of organisation:</w:t>
      </w:r>
      <w:r w:rsidR="00991AFB" w:rsidRPr="00335653">
        <w:rPr>
          <w:rFonts w:cs="Arial"/>
          <w:szCs w:val="24"/>
        </w:rPr>
        <w:t xml:space="preserve"> Scottish Human Rights Commission</w:t>
      </w:r>
    </w:p>
    <w:p w:rsidR="009232EF" w:rsidRPr="00335653" w:rsidRDefault="009232EF" w:rsidP="009232EF">
      <w:pPr>
        <w:jc w:val="left"/>
        <w:rPr>
          <w:rFonts w:cs="Arial"/>
          <w:b/>
          <w:szCs w:val="24"/>
          <w:u w:val="single"/>
        </w:rPr>
      </w:pPr>
    </w:p>
    <w:p w:rsidR="009232EF" w:rsidRPr="00335653" w:rsidRDefault="009232EF" w:rsidP="009232EF">
      <w:pPr>
        <w:jc w:val="left"/>
        <w:rPr>
          <w:rFonts w:cs="Arial"/>
          <w:szCs w:val="24"/>
        </w:rPr>
      </w:pPr>
      <w:r w:rsidRPr="00335653">
        <w:rPr>
          <w:rFonts w:cs="Arial"/>
          <w:szCs w:val="24"/>
          <w:u w:val="single"/>
        </w:rPr>
        <w:t>Preferred contact details (eg email address):</w:t>
      </w:r>
      <w:r w:rsidR="00991AFB" w:rsidRPr="00335653">
        <w:rPr>
          <w:rFonts w:cs="Arial"/>
          <w:szCs w:val="24"/>
        </w:rPr>
        <w:t xml:space="preserve">  bruce.adamson@scottishhumanrights.com</w:t>
      </w:r>
    </w:p>
    <w:p w:rsidR="009232EF" w:rsidRPr="00335653" w:rsidRDefault="009232EF" w:rsidP="009232EF">
      <w:pPr>
        <w:jc w:val="left"/>
        <w:rPr>
          <w:rFonts w:cs="Arial"/>
          <w:b/>
          <w:szCs w:val="24"/>
        </w:rPr>
      </w:pPr>
    </w:p>
    <w:p w:rsidR="009232EF" w:rsidRPr="00335653" w:rsidRDefault="009232EF" w:rsidP="009232EF">
      <w:pPr>
        <w:jc w:val="left"/>
        <w:rPr>
          <w:rFonts w:cs="Arial"/>
          <w:szCs w:val="24"/>
          <w:u w:val="single"/>
        </w:rPr>
      </w:pPr>
      <w:r w:rsidRPr="00335653">
        <w:rPr>
          <w:rFonts w:cs="Arial"/>
          <w:szCs w:val="24"/>
          <w:u w:val="single"/>
        </w:rPr>
        <w:t>Do you agree to your response being published on the Review’s website?</w:t>
      </w:r>
    </w:p>
    <w:p w:rsidR="009232EF" w:rsidRPr="00335653" w:rsidRDefault="009232EF" w:rsidP="009232EF">
      <w:pPr>
        <w:jc w:val="left"/>
        <w:rPr>
          <w:rFonts w:cs="Arial"/>
          <w:szCs w:val="24"/>
        </w:rPr>
      </w:pPr>
    </w:p>
    <w:p w:rsidR="009232EF" w:rsidRPr="00335653" w:rsidRDefault="009232EF" w:rsidP="009232EF">
      <w:pPr>
        <w:jc w:val="left"/>
        <w:rPr>
          <w:rFonts w:cs="Arial"/>
          <w:szCs w:val="24"/>
        </w:rPr>
      </w:pPr>
      <w:r w:rsidRPr="00335653">
        <w:rPr>
          <w:rFonts w:cs="Arial"/>
          <w:i/>
          <w:szCs w:val="24"/>
        </w:rPr>
        <w:t>Please delete as appropriate</w:t>
      </w:r>
      <w:r w:rsidRPr="00335653">
        <w:rPr>
          <w:rFonts w:cs="Arial"/>
          <w:szCs w:val="24"/>
        </w:rPr>
        <w:t xml:space="preserve">  </w:t>
      </w:r>
      <w:r w:rsidRPr="00335653">
        <w:rPr>
          <w:rFonts w:cs="Arial"/>
          <w:b/>
          <w:szCs w:val="24"/>
        </w:rPr>
        <w:t xml:space="preserve">YES  </w:t>
      </w:r>
    </w:p>
    <w:p w:rsidR="009232EF" w:rsidRPr="00335653" w:rsidRDefault="009232EF" w:rsidP="009232EF">
      <w:pPr>
        <w:jc w:val="left"/>
        <w:rPr>
          <w:rFonts w:cs="Arial"/>
          <w:szCs w:val="24"/>
        </w:rPr>
      </w:pPr>
    </w:p>
    <w:p w:rsidR="009232EF" w:rsidRPr="00335653" w:rsidRDefault="009232EF" w:rsidP="009232EF">
      <w:pPr>
        <w:jc w:val="left"/>
        <w:rPr>
          <w:rFonts w:cs="Arial"/>
          <w:szCs w:val="24"/>
          <w:u w:val="single"/>
        </w:rPr>
      </w:pPr>
      <w:r w:rsidRPr="00335653">
        <w:rPr>
          <w:rFonts w:cs="Arial"/>
          <w:szCs w:val="24"/>
          <w:u w:val="single"/>
        </w:rPr>
        <w:t xml:space="preserve">If yes, do you also consent to your </w:t>
      </w:r>
      <w:r w:rsidR="00AD0187" w:rsidRPr="00335653">
        <w:rPr>
          <w:rFonts w:cs="Arial"/>
          <w:szCs w:val="24"/>
          <w:u w:val="single"/>
        </w:rPr>
        <w:t>organisation’s</w:t>
      </w:r>
      <w:r w:rsidRPr="00335653">
        <w:rPr>
          <w:rFonts w:cs="Arial"/>
          <w:szCs w:val="24"/>
          <w:u w:val="single"/>
        </w:rPr>
        <w:t xml:space="preserve"> name being published along with your response?</w:t>
      </w:r>
    </w:p>
    <w:p w:rsidR="009232EF" w:rsidRPr="00335653" w:rsidRDefault="009232EF" w:rsidP="009232EF">
      <w:pPr>
        <w:jc w:val="left"/>
        <w:rPr>
          <w:rFonts w:cs="Arial"/>
          <w:szCs w:val="24"/>
        </w:rPr>
      </w:pPr>
    </w:p>
    <w:p w:rsidR="009232EF" w:rsidRPr="00335653" w:rsidRDefault="009232EF" w:rsidP="009232EF">
      <w:pPr>
        <w:jc w:val="left"/>
        <w:rPr>
          <w:rFonts w:cs="Arial"/>
          <w:szCs w:val="24"/>
        </w:rPr>
      </w:pPr>
      <w:r w:rsidRPr="00335653">
        <w:rPr>
          <w:rFonts w:cs="Arial"/>
          <w:i/>
          <w:szCs w:val="24"/>
        </w:rPr>
        <w:t>Please delete as appropriate</w:t>
      </w:r>
      <w:r w:rsidRPr="00335653">
        <w:rPr>
          <w:rFonts w:cs="Arial"/>
          <w:szCs w:val="24"/>
        </w:rPr>
        <w:t xml:space="preserve">  </w:t>
      </w:r>
      <w:r w:rsidRPr="00335653">
        <w:rPr>
          <w:rFonts w:cs="Arial"/>
          <w:b/>
          <w:szCs w:val="24"/>
        </w:rPr>
        <w:t xml:space="preserve">YES </w:t>
      </w:r>
    </w:p>
    <w:p w:rsidR="00B811F2" w:rsidRPr="00335653" w:rsidRDefault="00B811F2">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B811F2" w:rsidRPr="00335653" w:rsidRDefault="00B811F2" w:rsidP="00B811F2">
      <w:pPr>
        <w:rPr>
          <w:rFonts w:cs="Arial"/>
          <w:b/>
          <w:szCs w:val="24"/>
        </w:rPr>
      </w:pPr>
    </w:p>
    <w:p w:rsidR="00B811F2" w:rsidRPr="00335653" w:rsidRDefault="00B811F2" w:rsidP="00B811F2">
      <w:pPr>
        <w:rPr>
          <w:rFonts w:cs="Arial"/>
          <w:b/>
          <w:szCs w:val="24"/>
        </w:rPr>
      </w:pPr>
    </w:p>
    <w:p w:rsidR="00B811F2" w:rsidRPr="00335653" w:rsidRDefault="00B811F2" w:rsidP="00B811F2">
      <w:pPr>
        <w:rPr>
          <w:rFonts w:cs="Arial"/>
          <w:b/>
          <w:szCs w:val="24"/>
        </w:rPr>
      </w:pPr>
    </w:p>
    <w:p w:rsidR="00B811F2" w:rsidRPr="00335653" w:rsidRDefault="00B811F2" w:rsidP="00B811F2">
      <w:pPr>
        <w:rPr>
          <w:rFonts w:cs="Arial"/>
          <w:b/>
          <w:szCs w:val="24"/>
        </w:rPr>
      </w:pPr>
    </w:p>
    <w:p w:rsidR="00B811F2" w:rsidRPr="00335653" w:rsidRDefault="00B811F2" w:rsidP="00B811F2">
      <w:pPr>
        <w:rPr>
          <w:rFonts w:cs="Arial"/>
          <w:b/>
          <w:szCs w:val="24"/>
        </w:rPr>
      </w:pPr>
    </w:p>
    <w:p w:rsidR="00B811F2" w:rsidRPr="00335653" w:rsidRDefault="00B811F2" w:rsidP="00B811F2">
      <w:pPr>
        <w:rPr>
          <w:rFonts w:cs="Arial"/>
          <w:b/>
          <w:szCs w:val="24"/>
        </w:rPr>
      </w:pPr>
    </w:p>
    <w:p w:rsidR="00B811F2" w:rsidRPr="00335653" w:rsidRDefault="00B811F2" w:rsidP="00B811F2">
      <w:pPr>
        <w:rPr>
          <w:rFonts w:cs="Arial"/>
          <w:b/>
          <w:szCs w:val="24"/>
        </w:rPr>
      </w:pPr>
      <w:r w:rsidRPr="00335653">
        <w:rPr>
          <w:rFonts w:cs="Arial"/>
          <w:b/>
          <w:szCs w:val="24"/>
        </w:rPr>
        <w:t>Submitting your consultation response</w:t>
      </w:r>
    </w:p>
    <w:p w:rsidR="00B811F2" w:rsidRPr="00335653" w:rsidRDefault="00B811F2" w:rsidP="00B811F2">
      <w:pPr>
        <w:rPr>
          <w:rFonts w:cs="Arial"/>
          <w:szCs w:val="24"/>
        </w:rPr>
      </w:pPr>
    </w:p>
    <w:p w:rsidR="00B811F2" w:rsidRPr="00335653" w:rsidRDefault="00B811F2" w:rsidP="00B811F2">
      <w:pPr>
        <w:tabs>
          <w:tab w:val="num" w:pos="540"/>
        </w:tabs>
        <w:autoSpaceDE w:val="0"/>
        <w:autoSpaceDN w:val="0"/>
        <w:adjustRightInd w:val="0"/>
        <w:spacing w:line="240" w:lineRule="auto"/>
        <w:rPr>
          <w:rFonts w:eastAsia="Arial Unicode MS" w:cs="Arial"/>
          <w:szCs w:val="24"/>
        </w:rPr>
      </w:pPr>
      <w:r w:rsidRPr="00335653">
        <w:rPr>
          <w:rFonts w:eastAsia="Arial Unicode MS" w:cs="Arial"/>
          <w:szCs w:val="24"/>
        </w:rPr>
        <w:t>Consultation responses can be emailed or posted to the Review’s Secretariat via the details below.   While the Review would welcome responses in a different format should you so prefer, the first page of this Consultation Response Form must accompany any response.</w:t>
      </w:r>
    </w:p>
    <w:p w:rsidR="00B811F2" w:rsidRPr="00335653" w:rsidRDefault="00B811F2" w:rsidP="00B811F2">
      <w:pPr>
        <w:autoSpaceDE w:val="0"/>
        <w:autoSpaceDN w:val="0"/>
        <w:adjustRightInd w:val="0"/>
        <w:spacing w:line="240" w:lineRule="auto"/>
        <w:rPr>
          <w:rFonts w:eastAsia="Arial Unicode MS" w:cs="Arial"/>
          <w:szCs w:val="24"/>
        </w:rPr>
      </w:pPr>
    </w:p>
    <w:p w:rsidR="00B811F2" w:rsidRPr="00335653" w:rsidRDefault="00B811F2" w:rsidP="00B811F2">
      <w:pPr>
        <w:autoSpaceDE w:val="0"/>
        <w:autoSpaceDN w:val="0"/>
        <w:adjustRightInd w:val="0"/>
        <w:spacing w:line="240" w:lineRule="auto"/>
        <w:rPr>
          <w:rFonts w:eastAsia="Arial Unicode MS" w:cs="Arial"/>
          <w:szCs w:val="24"/>
        </w:rPr>
      </w:pPr>
      <w:r w:rsidRPr="00335653">
        <w:rPr>
          <w:rFonts w:eastAsia="Arial Unicode MS" w:cs="Arial"/>
          <w:szCs w:val="24"/>
        </w:rPr>
        <w:t xml:space="preserve">Website: </w:t>
      </w:r>
      <w:hyperlink r:id="rId9" w:history="1">
        <w:r w:rsidRPr="00335653">
          <w:rPr>
            <w:rStyle w:val="Hyperlink"/>
            <w:rFonts w:eastAsia="Arial Unicode MS" w:cs="Arial"/>
            <w:szCs w:val="24"/>
          </w:rPr>
          <w:t>www.scotland.gov.uk/About/Review/post-corroboration-safeguards</w:t>
        </w:r>
      </w:hyperlink>
    </w:p>
    <w:p w:rsidR="00B811F2" w:rsidRPr="00335653" w:rsidRDefault="00B811F2" w:rsidP="00B811F2">
      <w:pPr>
        <w:rPr>
          <w:rFonts w:cs="Arial"/>
          <w:szCs w:val="24"/>
        </w:rPr>
      </w:pPr>
    </w:p>
    <w:p w:rsidR="00B811F2" w:rsidRPr="00335653" w:rsidRDefault="00B811F2" w:rsidP="00B811F2">
      <w:pPr>
        <w:rPr>
          <w:rFonts w:cs="Arial"/>
          <w:szCs w:val="24"/>
        </w:rPr>
      </w:pPr>
      <w:r w:rsidRPr="00335653">
        <w:rPr>
          <w:rFonts w:cs="Arial"/>
          <w:szCs w:val="24"/>
        </w:rPr>
        <w:t xml:space="preserve">Email:  </w:t>
      </w:r>
      <w:hyperlink r:id="rId10" w:history="1">
        <w:r w:rsidRPr="00335653">
          <w:rPr>
            <w:rStyle w:val="Hyperlink"/>
            <w:rFonts w:cs="Arial"/>
            <w:szCs w:val="24"/>
          </w:rPr>
          <w:t>Safeguardsreviewsecretariat@scotland.gsi.gov.uk</w:t>
        </w:r>
      </w:hyperlink>
    </w:p>
    <w:p w:rsidR="00B811F2" w:rsidRPr="00335653" w:rsidRDefault="00B811F2" w:rsidP="00B811F2">
      <w:pPr>
        <w:rPr>
          <w:rFonts w:cs="Arial"/>
          <w:szCs w:val="24"/>
        </w:rPr>
      </w:pPr>
    </w:p>
    <w:p w:rsidR="00B811F2" w:rsidRPr="00335653" w:rsidRDefault="00B811F2" w:rsidP="00B811F2">
      <w:pPr>
        <w:rPr>
          <w:rFonts w:cs="Arial"/>
          <w:szCs w:val="24"/>
        </w:rPr>
      </w:pPr>
      <w:r w:rsidRPr="00335653">
        <w:rPr>
          <w:rFonts w:cs="Arial"/>
          <w:szCs w:val="24"/>
        </w:rPr>
        <w:t xml:space="preserve">Postal address:  </w:t>
      </w:r>
      <w:r w:rsidRPr="00335653">
        <w:rPr>
          <w:rFonts w:cs="Arial"/>
          <w:szCs w:val="24"/>
        </w:rPr>
        <w:tab/>
        <w:t>Post-corroboration Safeguards Review</w:t>
      </w:r>
    </w:p>
    <w:p w:rsidR="00B811F2" w:rsidRPr="00335653" w:rsidRDefault="00B811F2" w:rsidP="00B811F2">
      <w:pPr>
        <w:rPr>
          <w:rFonts w:cs="Arial"/>
          <w:szCs w:val="24"/>
        </w:rPr>
      </w:pPr>
      <w:r w:rsidRPr="00335653">
        <w:rPr>
          <w:rFonts w:cs="Arial"/>
          <w:szCs w:val="24"/>
        </w:rPr>
        <w:tab/>
      </w:r>
      <w:r w:rsidRPr="00335653">
        <w:rPr>
          <w:rFonts w:cs="Arial"/>
          <w:szCs w:val="24"/>
        </w:rPr>
        <w:tab/>
      </w:r>
      <w:r w:rsidRPr="00335653">
        <w:rPr>
          <w:rFonts w:cs="Arial"/>
          <w:szCs w:val="24"/>
        </w:rPr>
        <w:tab/>
        <w:t>Room BR.13</w:t>
      </w:r>
    </w:p>
    <w:p w:rsidR="00B811F2" w:rsidRPr="00335653" w:rsidRDefault="00B811F2" w:rsidP="00B811F2">
      <w:pPr>
        <w:rPr>
          <w:rFonts w:cs="Arial"/>
          <w:szCs w:val="24"/>
        </w:rPr>
      </w:pPr>
      <w:r w:rsidRPr="00335653">
        <w:rPr>
          <w:rFonts w:cs="Arial"/>
          <w:szCs w:val="24"/>
        </w:rPr>
        <w:tab/>
      </w:r>
      <w:r w:rsidRPr="00335653">
        <w:rPr>
          <w:rFonts w:cs="Arial"/>
          <w:szCs w:val="24"/>
        </w:rPr>
        <w:tab/>
      </w:r>
      <w:r w:rsidRPr="00335653">
        <w:rPr>
          <w:rFonts w:cs="Arial"/>
          <w:szCs w:val="24"/>
        </w:rPr>
        <w:tab/>
        <w:t>St Andrew’s House</w:t>
      </w:r>
    </w:p>
    <w:p w:rsidR="00B811F2" w:rsidRPr="00335653" w:rsidRDefault="00B811F2" w:rsidP="00B811F2">
      <w:pPr>
        <w:rPr>
          <w:rFonts w:cs="Arial"/>
          <w:szCs w:val="24"/>
        </w:rPr>
      </w:pPr>
      <w:r w:rsidRPr="00335653">
        <w:rPr>
          <w:rFonts w:cs="Arial"/>
          <w:szCs w:val="24"/>
        </w:rPr>
        <w:tab/>
      </w:r>
      <w:r w:rsidRPr="00335653">
        <w:rPr>
          <w:rFonts w:cs="Arial"/>
          <w:szCs w:val="24"/>
        </w:rPr>
        <w:tab/>
      </w:r>
      <w:r w:rsidRPr="00335653">
        <w:rPr>
          <w:rFonts w:cs="Arial"/>
          <w:szCs w:val="24"/>
        </w:rPr>
        <w:tab/>
        <w:t>Edinburgh</w:t>
      </w:r>
    </w:p>
    <w:p w:rsidR="00A17789" w:rsidRPr="00335653" w:rsidRDefault="00B811F2" w:rsidP="00B811F2">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335653">
        <w:rPr>
          <w:rFonts w:cs="Arial"/>
          <w:szCs w:val="24"/>
        </w:rPr>
        <w:tab/>
      </w:r>
      <w:r w:rsidRPr="00335653">
        <w:rPr>
          <w:rFonts w:cs="Arial"/>
          <w:szCs w:val="24"/>
        </w:rPr>
        <w:tab/>
      </w:r>
      <w:r w:rsidRPr="00335653">
        <w:rPr>
          <w:rFonts w:cs="Arial"/>
          <w:szCs w:val="24"/>
        </w:rPr>
        <w:tab/>
        <w:t>EH1 3DG</w:t>
      </w:r>
    </w:p>
    <w:p w:rsidR="00A17789" w:rsidRPr="00335653" w:rsidRDefault="00A17789" w:rsidP="00B811F2">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A17789" w:rsidRPr="00335653" w:rsidRDefault="00A17789" w:rsidP="00B811F2">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A17789" w:rsidRPr="00335653" w:rsidRDefault="00A17789" w:rsidP="00B811F2">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A17789" w:rsidRPr="00335653" w:rsidRDefault="00A17789" w:rsidP="00B811F2">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A17789" w:rsidRPr="00335653" w:rsidRDefault="00A17789" w:rsidP="00A17789">
      <w:pPr>
        <w:rPr>
          <w:rFonts w:cs="Arial"/>
          <w:szCs w:val="24"/>
        </w:rPr>
      </w:pPr>
    </w:p>
    <w:p w:rsidR="00A17789" w:rsidRPr="00335653" w:rsidRDefault="00A17789" w:rsidP="00A17789">
      <w:pPr>
        <w:rPr>
          <w:rFonts w:cs="Arial"/>
          <w:szCs w:val="24"/>
        </w:rPr>
      </w:pPr>
    </w:p>
    <w:p w:rsidR="00A17789" w:rsidRPr="00335653" w:rsidRDefault="00A17789" w:rsidP="00A17789">
      <w:pPr>
        <w:rPr>
          <w:rFonts w:cs="Arial"/>
          <w:szCs w:val="24"/>
        </w:rPr>
      </w:pPr>
    </w:p>
    <w:p w:rsidR="00A17789" w:rsidRPr="00335653" w:rsidRDefault="00A17789" w:rsidP="00A17789">
      <w:pPr>
        <w:rPr>
          <w:rFonts w:cs="Arial"/>
          <w:szCs w:val="24"/>
        </w:rPr>
      </w:pPr>
    </w:p>
    <w:p w:rsidR="00A17789" w:rsidRPr="00335653" w:rsidRDefault="00A17789" w:rsidP="00A17789">
      <w:pPr>
        <w:rPr>
          <w:rFonts w:cs="Arial"/>
          <w:szCs w:val="24"/>
        </w:rPr>
      </w:pPr>
    </w:p>
    <w:p w:rsidR="00A17789" w:rsidRPr="00335653" w:rsidRDefault="00A17789" w:rsidP="00A17789">
      <w:pPr>
        <w:rPr>
          <w:rFonts w:cs="Arial"/>
          <w:szCs w:val="24"/>
        </w:rPr>
      </w:pPr>
    </w:p>
    <w:p w:rsidR="00A17789" w:rsidRPr="00335653" w:rsidRDefault="00A17789" w:rsidP="00A17789">
      <w:pPr>
        <w:rPr>
          <w:rFonts w:cs="Arial"/>
          <w:szCs w:val="24"/>
        </w:rPr>
      </w:pPr>
    </w:p>
    <w:p w:rsidR="009B4ED4" w:rsidRPr="00335653" w:rsidRDefault="009B4ED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335653">
        <w:rPr>
          <w:rFonts w:cs="Arial"/>
          <w:b/>
          <w:szCs w:val="24"/>
        </w:rPr>
        <w:br w:type="page"/>
      </w:r>
    </w:p>
    <w:p w:rsidR="00A17789" w:rsidRPr="00335653" w:rsidRDefault="00B451E2">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335653">
        <w:rPr>
          <w:rFonts w:cs="Arial"/>
          <w:b/>
          <w:szCs w:val="24"/>
        </w:rPr>
        <w:lastRenderedPageBreak/>
        <w:t>INTRODUCTION</w:t>
      </w:r>
    </w:p>
    <w:p w:rsidR="00A17789" w:rsidRPr="00335653" w:rsidRDefault="00A17789">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B451E2" w:rsidRPr="00335653" w:rsidRDefault="00B451E2" w:rsidP="00B451E2">
      <w:pPr>
        <w:jc w:val="left"/>
        <w:rPr>
          <w:rFonts w:cs="Arial"/>
          <w:szCs w:val="24"/>
        </w:rPr>
      </w:pPr>
      <w:r w:rsidRPr="00335653">
        <w:rPr>
          <w:rFonts w:cs="Arial"/>
          <w:szCs w:val="24"/>
        </w:rPr>
        <w:t xml:space="preserve">The </w:t>
      </w:r>
      <w:r w:rsidR="00524A43" w:rsidRPr="00335653">
        <w:rPr>
          <w:rFonts w:cs="Arial"/>
          <w:szCs w:val="24"/>
        </w:rPr>
        <w:t xml:space="preserve">Scottish Human Rights </w:t>
      </w:r>
      <w:r w:rsidRPr="00335653">
        <w:rPr>
          <w:rFonts w:cs="Arial"/>
          <w:szCs w:val="24"/>
        </w:rPr>
        <w:t xml:space="preserve">Commission </w:t>
      </w:r>
      <w:r w:rsidR="00524A43" w:rsidRPr="00335653">
        <w:rPr>
          <w:rFonts w:cs="Arial"/>
          <w:szCs w:val="24"/>
        </w:rPr>
        <w:t xml:space="preserve">(the Commission) </w:t>
      </w:r>
      <w:r w:rsidRPr="00335653">
        <w:rPr>
          <w:rFonts w:cs="Arial"/>
          <w:szCs w:val="24"/>
        </w:rPr>
        <w:t xml:space="preserve">welcomes the opportunity to comment on </w:t>
      </w:r>
      <w:r w:rsidR="007B24DB" w:rsidRPr="00335653">
        <w:rPr>
          <w:rFonts w:cs="Arial"/>
          <w:szCs w:val="24"/>
        </w:rPr>
        <w:t>the P</w:t>
      </w:r>
      <w:r w:rsidRPr="00335653">
        <w:rPr>
          <w:rFonts w:cs="Arial"/>
          <w:szCs w:val="24"/>
        </w:rPr>
        <w:t>ost-corroboration Safeguards Review</w:t>
      </w:r>
      <w:r w:rsidR="00524A43" w:rsidRPr="00335653">
        <w:rPr>
          <w:rFonts w:cs="Arial"/>
          <w:szCs w:val="24"/>
        </w:rPr>
        <w:t>. The</w:t>
      </w:r>
      <w:r w:rsidR="007B24DB" w:rsidRPr="00335653">
        <w:rPr>
          <w:rFonts w:cs="Arial"/>
          <w:szCs w:val="24"/>
        </w:rPr>
        <w:t xml:space="preserve"> Review</w:t>
      </w:r>
      <w:r w:rsidR="00524A43" w:rsidRPr="00335653">
        <w:rPr>
          <w:rFonts w:cs="Arial"/>
          <w:szCs w:val="24"/>
        </w:rPr>
        <w:t xml:space="preserve"> </w:t>
      </w:r>
      <w:r w:rsidRPr="00335653">
        <w:rPr>
          <w:rFonts w:cs="Arial"/>
          <w:szCs w:val="24"/>
        </w:rPr>
        <w:t xml:space="preserve">has made </w:t>
      </w:r>
      <w:r w:rsidR="007B24DB" w:rsidRPr="00335653">
        <w:rPr>
          <w:rFonts w:cs="Arial"/>
          <w:szCs w:val="24"/>
        </w:rPr>
        <w:t xml:space="preserve">a </w:t>
      </w:r>
      <w:r w:rsidRPr="00335653">
        <w:rPr>
          <w:rFonts w:cs="Arial"/>
          <w:szCs w:val="24"/>
        </w:rPr>
        <w:t>significant contribution to the ongoing work on the reform of the criminal justice system in Scotland.</w:t>
      </w:r>
    </w:p>
    <w:p w:rsidR="00B451E2" w:rsidRPr="00335653" w:rsidRDefault="00B451E2" w:rsidP="00B451E2">
      <w:pPr>
        <w:rPr>
          <w:rFonts w:cs="Arial"/>
          <w:szCs w:val="24"/>
        </w:rPr>
      </w:pPr>
    </w:p>
    <w:p w:rsidR="00B451E2" w:rsidRPr="00335653" w:rsidRDefault="00B451E2" w:rsidP="00B451E2">
      <w:pPr>
        <w:rPr>
          <w:rFonts w:cs="Arial"/>
          <w:szCs w:val="24"/>
        </w:rPr>
      </w:pPr>
      <w:r w:rsidRPr="00335653">
        <w:rPr>
          <w:rFonts w:cs="Arial"/>
          <w:szCs w:val="24"/>
        </w:rPr>
        <w:t>The Commission considers that it is useful to reflect on the events and decisions that led to this Review and would like to reiterate the points made in its previous submissions to the various stages of reform process.</w:t>
      </w:r>
    </w:p>
    <w:p w:rsidR="00B451E2" w:rsidRPr="00335653" w:rsidRDefault="00B451E2" w:rsidP="00B451E2">
      <w:pPr>
        <w:rPr>
          <w:rFonts w:cs="Arial"/>
          <w:szCs w:val="24"/>
        </w:rPr>
      </w:pPr>
    </w:p>
    <w:p w:rsidR="00B451E2" w:rsidRPr="00335653" w:rsidRDefault="00B451E2" w:rsidP="00B451E2">
      <w:pPr>
        <w:rPr>
          <w:rFonts w:cs="Arial"/>
          <w:szCs w:val="24"/>
        </w:rPr>
      </w:pPr>
      <w:r w:rsidRPr="00335653">
        <w:rPr>
          <w:rFonts w:cs="Arial"/>
          <w:szCs w:val="24"/>
        </w:rPr>
        <w:t xml:space="preserve">The Commission welcomed the decision of the Supreme Court in </w:t>
      </w:r>
      <w:r w:rsidRPr="00335653">
        <w:rPr>
          <w:rFonts w:cs="Arial"/>
          <w:i/>
          <w:szCs w:val="24"/>
        </w:rPr>
        <w:t>Cadder v HMA</w:t>
      </w:r>
      <w:r w:rsidRPr="00335653">
        <w:rPr>
          <w:rFonts w:cs="Arial"/>
          <w:szCs w:val="24"/>
        </w:rPr>
        <w:t xml:space="preserve"> which confirmed that the Scottish practice of detaining and questioning suspects without providing the right to legal assistance was contrary to the right to a fair trial under the European Convention</w:t>
      </w:r>
      <w:r w:rsidR="00B27989">
        <w:rPr>
          <w:rFonts w:cs="Arial"/>
          <w:szCs w:val="24"/>
        </w:rPr>
        <w:t xml:space="preserve"> on Human Rights (</w:t>
      </w:r>
      <w:proofErr w:type="spellStart"/>
      <w:r w:rsidR="00B27989">
        <w:rPr>
          <w:rFonts w:cs="Arial"/>
          <w:szCs w:val="24"/>
        </w:rPr>
        <w:t>ECHR</w:t>
      </w:r>
      <w:proofErr w:type="spellEnd"/>
      <w:r w:rsidR="00B27989">
        <w:rPr>
          <w:rFonts w:cs="Arial"/>
          <w:szCs w:val="24"/>
        </w:rPr>
        <w:t>)</w:t>
      </w:r>
      <w:r w:rsidRPr="00335653">
        <w:rPr>
          <w:rFonts w:cs="Arial"/>
          <w:szCs w:val="24"/>
        </w:rPr>
        <w:t>. This deficiency in the protection of detainees had been highlighted by the European Committee for the Prevention of Torture in two prior reports on the United Kingdom.</w:t>
      </w:r>
      <w:r w:rsidRPr="00335653">
        <w:rPr>
          <w:rStyle w:val="FootnoteReference"/>
          <w:rFonts w:cs="Arial"/>
          <w:szCs w:val="24"/>
        </w:rPr>
        <w:footnoteReference w:id="1"/>
      </w:r>
    </w:p>
    <w:p w:rsidR="00B451E2" w:rsidRPr="00335653" w:rsidRDefault="00B451E2" w:rsidP="00B451E2">
      <w:pPr>
        <w:rPr>
          <w:rFonts w:cs="Arial"/>
          <w:szCs w:val="24"/>
        </w:rPr>
      </w:pPr>
    </w:p>
    <w:p w:rsidR="00B451E2" w:rsidRPr="00335653" w:rsidRDefault="00B451E2" w:rsidP="00B451E2">
      <w:pPr>
        <w:rPr>
          <w:rFonts w:cs="Arial"/>
          <w:szCs w:val="24"/>
        </w:rPr>
      </w:pPr>
      <w:r w:rsidRPr="00335653">
        <w:rPr>
          <w:rFonts w:cs="Arial"/>
          <w:szCs w:val="24"/>
        </w:rPr>
        <w:t>Following the</w:t>
      </w:r>
      <w:r w:rsidR="00524A43" w:rsidRPr="00335653">
        <w:rPr>
          <w:rFonts w:cs="Arial"/>
          <w:szCs w:val="24"/>
        </w:rPr>
        <w:t xml:space="preserve"> </w:t>
      </w:r>
      <w:r w:rsidRPr="00335653">
        <w:rPr>
          <w:rFonts w:cs="Arial"/>
          <w:i/>
          <w:szCs w:val="24"/>
        </w:rPr>
        <w:t>Cadder</w:t>
      </w:r>
      <w:r w:rsidRPr="00335653">
        <w:rPr>
          <w:rFonts w:cs="Arial"/>
          <w:szCs w:val="24"/>
        </w:rPr>
        <w:t xml:space="preserve"> </w:t>
      </w:r>
      <w:r w:rsidR="005F7BFA" w:rsidRPr="00335653">
        <w:rPr>
          <w:rFonts w:cs="Arial"/>
          <w:szCs w:val="24"/>
        </w:rPr>
        <w:t xml:space="preserve"> </w:t>
      </w:r>
      <w:r w:rsidRPr="00335653">
        <w:rPr>
          <w:rFonts w:cs="Arial"/>
          <w:szCs w:val="24"/>
        </w:rPr>
        <w:t xml:space="preserve">judgment, the Scottish Government made significant changes to criminal procedure in Scotland. While legislation enshrining the right to legal assistance is to be applauded, the Commission </w:t>
      </w:r>
      <w:r w:rsidR="005F7BFA" w:rsidRPr="00335653">
        <w:rPr>
          <w:rFonts w:cs="Arial"/>
          <w:szCs w:val="24"/>
        </w:rPr>
        <w:t xml:space="preserve">has consistently </w:t>
      </w:r>
      <w:r w:rsidRPr="00335653">
        <w:rPr>
          <w:rFonts w:cs="Arial"/>
          <w:szCs w:val="24"/>
        </w:rPr>
        <w:t>express</w:t>
      </w:r>
      <w:r w:rsidR="005F7BFA" w:rsidRPr="00335653">
        <w:rPr>
          <w:rFonts w:cs="Arial"/>
          <w:szCs w:val="24"/>
        </w:rPr>
        <w:t>ed</w:t>
      </w:r>
      <w:r w:rsidRPr="00335653">
        <w:rPr>
          <w:rFonts w:cs="Arial"/>
          <w:szCs w:val="24"/>
        </w:rPr>
        <w:t xml:space="preserve"> serious reservations about </w:t>
      </w:r>
      <w:r w:rsidR="005F7BFA" w:rsidRPr="00335653">
        <w:rPr>
          <w:rFonts w:cs="Arial"/>
          <w:szCs w:val="24"/>
        </w:rPr>
        <w:t xml:space="preserve">some </w:t>
      </w:r>
      <w:r w:rsidRPr="00335653">
        <w:rPr>
          <w:rFonts w:cs="Arial"/>
          <w:szCs w:val="24"/>
        </w:rPr>
        <w:t>other aspects of the reform process.</w:t>
      </w:r>
      <w:r w:rsidRPr="00335653">
        <w:rPr>
          <w:rStyle w:val="FootnoteReference"/>
          <w:rFonts w:cs="Arial"/>
          <w:szCs w:val="24"/>
        </w:rPr>
        <w:footnoteReference w:id="2"/>
      </w:r>
      <w:r w:rsidRPr="00335653">
        <w:rPr>
          <w:rFonts w:cs="Arial"/>
          <w:szCs w:val="24"/>
        </w:rPr>
        <w:t xml:space="preserve"> </w:t>
      </w:r>
    </w:p>
    <w:p w:rsidR="00B451E2" w:rsidRPr="00335653" w:rsidRDefault="00B451E2" w:rsidP="00B451E2">
      <w:pPr>
        <w:rPr>
          <w:rFonts w:cs="Arial"/>
          <w:szCs w:val="24"/>
        </w:rPr>
      </w:pPr>
    </w:p>
    <w:p w:rsidR="00B451E2" w:rsidRPr="00335653" w:rsidRDefault="007B24DB" w:rsidP="00B451E2">
      <w:pPr>
        <w:rPr>
          <w:rFonts w:cs="Arial"/>
          <w:szCs w:val="24"/>
        </w:rPr>
      </w:pPr>
      <w:r w:rsidRPr="00335653">
        <w:rPr>
          <w:rFonts w:cs="Arial"/>
          <w:szCs w:val="24"/>
        </w:rPr>
        <w:t>The decision</w:t>
      </w:r>
      <w:r w:rsidR="00B451E2" w:rsidRPr="00335653">
        <w:rPr>
          <w:rFonts w:cs="Arial"/>
          <w:szCs w:val="24"/>
        </w:rPr>
        <w:t xml:space="preserve"> in </w:t>
      </w:r>
      <w:r w:rsidR="00B451E2" w:rsidRPr="00335653">
        <w:rPr>
          <w:rFonts w:cs="Arial"/>
          <w:i/>
          <w:szCs w:val="24"/>
        </w:rPr>
        <w:t>Cadder</w:t>
      </w:r>
      <w:r w:rsidR="00B451E2" w:rsidRPr="00335653">
        <w:rPr>
          <w:rFonts w:cs="Arial"/>
          <w:szCs w:val="24"/>
        </w:rPr>
        <w:t xml:space="preserve"> did not provide a suspect with </w:t>
      </w:r>
      <w:r w:rsidR="00524A43" w:rsidRPr="00335653">
        <w:rPr>
          <w:rFonts w:cs="Arial"/>
          <w:szCs w:val="24"/>
        </w:rPr>
        <w:t>an</w:t>
      </w:r>
      <w:r w:rsidR="00B451E2" w:rsidRPr="00335653">
        <w:rPr>
          <w:rFonts w:cs="Arial"/>
          <w:szCs w:val="24"/>
        </w:rPr>
        <w:t xml:space="preserve"> </w:t>
      </w:r>
      <w:r w:rsidR="005F7BFA" w:rsidRPr="00335653">
        <w:rPr>
          <w:rFonts w:cs="Arial"/>
          <w:szCs w:val="24"/>
        </w:rPr>
        <w:t xml:space="preserve">additional </w:t>
      </w:r>
      <w:r w:rsidR="00B451E2" w:rsidRPr="00335653">
        <w:rPr>
          <w:rFonts w:cs="Arial"/>
          <w:szCs w:val="24"/>
        </w:rPr>
        <w:t xml:space="preserve">advantage. The effect of the decision and the legislation which followed was to provide those suspected of crime in Scotland with the </w:t>
      </w:r>
      <w:r w:rsidR="00B451E2" w:rsidRPr="00335653">
        <w:rPr>
          <w:rFonts w:cs="Arial"/>
          <w:szCs w:val="24"/>
          <w:u w:val="single"/>
        </w:rPr>
        <w:t>minimum</w:t>
      </w:r>
      <w:r w:rsidR="00B451E2" w:rsidRPr="00335653">
        <w:rPr>
          <w:rFonts w:cs="Arial"/>
          <w:szCs w:val="24"/>
        </w:rPr>
        <w:t xml:space="preserve"> protection necessary to secure a fair trial. The </w:t>
      </w:r>
      <w:r w:rsidR="005F7BFA" w:rsidRPr="00335653">
        <w:rPr>
          <w:rFonts w:cs="Arial"/>
          <w:szCs w:val="24"/>
        </w:rPr>
        <w:t>Commission rejects</w:t>
      </w:r>
      <w:r w:rsidR="00524A43" w:rsidRPr="00335653">
        <w:rPr>
          <w:rFonts w:cs="Arial"/>
          <w:szCs w:val="24"/>
        </w:rPr>
        <w:t xml:space="preserve"> that a</w:t>
      </w:r>
      <w:r w:rsidR="00B451E2" w:rsidRPr="00335653">
        <w:rPr>
          <w:rFonts w:cs="Arial"/>
          <w:szCs w:val="24"/>
        </w:rPr>
        <w:t xml:space="preserve"> “rebalancing exercise” </w:t>
      </w:r>
      <w:r w:rsidR="00524A43" w:rsidRPr="00335653">
        <w:rPr>
          <w:rFonts w:cs="Arial"/>
          <w:szCs w:val="24"/>
        </w:rPr>
        <w:t xml:space="preserve">was </w:t>
      </w:r>
      <w:r w:rsidR="00B451E2" w:rsidRPr="00335653">
        <w:rPr>
          <w:rFonts w:cs="Arial"/>
          <w:szCs w:val="24"/>
        </w:rPr>
        <w:t>require</w:t>
      </w:r>
      <w:r w:rsidR="00524A43" w:rsidRPr="00335653">
        <w:rPr>
          <w:rFonts w:cs="Arial"/>
          <w:szCs w:val="24"/>
        </w:rPr>
        <w:t>d</w:t>
      </w:r>
      <w:r w:rsidR="00B451E2" w:rsidRPr="00335653">
        <w:rPr>
          <w:rFonts w:cs="Arial"/>
          <w:szCs w:val="24"/>
        </w:rPr>
        <w:t xml:space="preserve"> to be carried out in the form of removal of other procedural safeguards, such as corroboration</w:t>
      </w:r>
      <w:r w:rsidRPr="00335653">
        <w:rPr>
          <w:rFonts w:cs="Arial"/>
          <w:szCs w:val="24"/>
        </w:rPr>
        <w:t>. The Commission welcomes the purpose of th</w:t>
      </w:r>
      <w:r w:rsidR="00524A43" w:rsidRPr="00335653">
        <w:rPr>
          <w:rFonts w:cs="Arial"/>
          <w:szCs w:val="24"/>
        </w:rPr>
        <w:t>is</w:t>
      </w:r>
      <w:r w:rsidRPr="00335653">
        <w:rPr>
          <w:rFonts w:cs="Arial"/>
          <w:szCs w:val="24"/>
        </w:rPr>
        <w:t xml:space="preserve"> Review to ensure that </w:t>
      </w:r>
      <w:r w:rsidR="00B451E2" w:rsidRPr="00335653">
        <w:rPr>
          <w:rFonts w:cs="Arial"/>
          <w:szCs w:val="24"/>
        </w:rPr>
        <w:t>adequate alternative safeguard</w:t>
      </w:r>
      <w:r w:rsidR="00DD4F94">
        <w:rPr>
          <w:rFonts w:cs="Arial"/>
          <w:szCs w:val="24"/>
        </w:rPr>
        <w:t>s</w:t>
      </w:r>
      <w:r w:rsidR="00B451E2" w:rsidRPr="00335653">
        <w:rPr>
          <w:rFonts w:cs="Arial"/>
          <w:szCs w:val="24"/>
        </w:rPr>
        <w:t xml:space="preserve"> are </w:t>
      </w:r>
      <w:r w:rsidRPr="00335653">
        <w:rPr>
          <w:rFonts w:cs="Arial"/>
          <w:szCs w:val="24"/>
        </w:rPr>
        <w:t>in place before the removal of existing safeguards.</w:t>
      </w:r>
    </w:p>
    <w:p w:rsidR="007B24DB" w:rsidRPr="00335653" w:rsidRDefault="007B24DB" w:rsidP="00B451E2">
      <w:pPr>
        <w:rPr>
          <w:rFonts w:cs="Arial"/>
          <w:szCs w:val="24"/>
        </w:rPr>
      </w:pPr>
    </w:p>
    <w:p w:rsidR="007B24DB" w:rsidRPr="00335653" w:rsidRDefault="007B24DB" w:rsidP="00B451E2">
      <w:pPr>
        <w:rPr>
          <w:rFonts w:cs="Arial"/>
          <w:szCs w:val="24"/>
        </w:rPr>
      </w:pPr>
      <w:r w:rsidRPr="00335653">
        <w:rPr>
          <w:rFonts w:cs="Arial"/>
          <w:szCs w:val="24"/>
        </w:rPr>
        <w:t>The Commission would like to refer to a number of its previous contributions to the reform process:</w:t>
      </w:r>
    </w:p>
    <w:p w:rsidR="007B24DB" w:rsidRPr="00335653" w:rsidRDefault="007B24DB" w:rsidP="00A17789">
      <w:pPr>
        <w:rPr>
          <w:rFonts w:cs="Arial"/>
          <w:szCs w:val="24"/>
        </w:rPr>
      </w:pPr>
    </w:p>
    <w:p w:rsidR="00DA530A" w:rsidRPr="00335653" w:rsidRDefault="00DC23EA" w:rsidP="00DA530A">
      <w:pPr>
        <w:jc w:val="left"/>
        <w:rPr>
          <w:rFonts w:cs="Arial"/>
          <w:szCs w:val="24"/>
        </w:rPr>
      </w:pPr>
      <w:r w:rsidRPr="00335653">
        <w:rPr>
          <w:rFonts w:cs="Arial"/>
          <w:szCs w:val="24"/>
        </w:rPr>
        <w:t>1.</w:t>
      </w:r>
      <w:r w:rsidR="00DA530A" w:rsidRPr="00335653">
        <w:rPr>
          <w:rFonts w:cs="Arial"/>
          <w:szCs w:val="24"/>
        </w:rPr>
        <w:t xml:space="preserve"> </w:t>
      </w:r>
      <w:r w:rsidR="001C5E36" w:rsidRPr="00335653">
        <w:rPr>
          <w:rFonts w:cs="Arial"/>
          <w:szCs w:val="24"/>
        </w:rPr>
        <w:tab/>
      </w:r>
      <w:r w:rsidR="00524A43" w:rsidRPr="00335653">
        <w:rPr>
          <w:rFonts w:cs="Arial"/>
          <w:szCs w:val="24"/>
        </w:rPr>
        <w:t xml:space="preserve">Response to </w:t>
      </w:r>
      <w:r w:rsidR="00A17789" w:rsidRPr="00335653">
        <w:rPr>
          <w:rFonts w:cs="Arial"/>
          <w:szCs w:val="24"/>
        </w:rPr>
        <w:t>Lord Carloway</w:t>
      </w:r>
      <w:r w:rsidR="00524A43" w:rsidRPr="00335653">
        <w:rPr>
          <w:rFonts w:cs="Arial"/>
          <w:szCs w:val="24"/>
        </w:rPr>
        <w:t>’s Review,</w:t>
      </w:r>
      <w:r w:rsidR="00A17789" w:rsidRPr="00335653">
        <w:rPr>
          <w:rFonts w:cs="Arial"/>
          <w:szCs w:val="24"/>
        </w:rPr>
        <w:t xml:space="preserve"> </w:t>
      </w:r>
      <w:r w:rsidR="001C5E36" w:rsidRPr="00335653">
        <w:rPr>
          <w:rFonts w:cs="Arial"/>
          <w:szCs w:val="24"/>
        </w:rPr>
        <w:t>June 2011.</w:t>
      </w:r>
      <w:r w:rsidR="00524A43" w:rsidRPr="00335653">
        <w:rPr>
          <w:rFonts w:cs="Arial"/>
          <w:szCs w:val="24"/>
        </w:rPr>
        <w:t xml:space="preserve"> </w:t>
      </w:r>
      <w:r w:rsidR="00524A43" w:rsidRPr="00335653">
        <w:rPr>
          <w:rFonts w:cs="Arial"/>
          <w:szCs w:val="24"/>
        </w:rPr>
        <w:tab/>
      </w:r>
    </w:p>
    <w:p w:rsidR="00A17789" w:rsidRPr="00B27989" w:rsidRDefault="003D1555" w:rsidP="00DA530A">
      <w:pPr>
        <w:jc w:val="left"/>
        <w:rPr>
          <w:rFonts w:cs="Arial"/>
          <w:sz w:val="22"/>
          <w:szCs w:val="22"/>
        </w:rPr>
      </w:pPr>
      <w:hyperlink r:id="rId11" w:history="1">
        <w:r w:rsidR="00524A43" w:rsidRPr="00B27989">
          <w:rPr>
            <w:rStyle w:val="Hyperlink"/>
            <w:rFonts w:cs="Arial"/>
            <w:sz w:val="22"/>
            <w:szCs w:val="22"/>
          </w:rPr>
          <w:t>http://scottishhumanrights.com/news/latestnews/carlowaynewsjune2011</w:t>
        </w:r>
      </w:hyperlink>
    </w:p>
    <w:p w:rsidR="00DC23EA" w:rsidRPr="00335653" w:rsidRDefault="00DC23EA" w:rsidP="00DA530A">
      <w:pPr>
        <w:jc w:val="left"/>
        <w:rPr>
          <w:rFonts w:cs="Arial"/>
          <w:szCs w:val="24"/>
        </w:rPr>
      </w:pPr>
    </w:p>
    <w:p w:rsidR="00DC23EA" w:rsidRPr="00335653" w:rsidRDefault="00DC23EA" w:rsidP="00DA530A">
      <w:pPr>
        <w:jc w:val="left"/>
        <w:rPr>
          <w:rFonts w:cs="Arial"/>
          <w:szCs w:val="24"/>
        </w:rPr>
      </w:pPr>
      <w:r w:rsidRPr="00335653">
        <w:rPr>
          <w:rFonts w:cs="Arial"/>
          <w:szCs w:val="24"/>
        </w:rPr>
        <w:t xml:space="preserve">2. </w:t>
      </w:r>
      <w:r w:rsidR="001C5E36" w:rsidRPr="00335653">
        <w:rPr>
          <w:rFonts w:cs="Arial"/>
          <w:szCs w:val="24"/>
        </w:rPr>
        <w:tab/>
      </w:r>
      <w:r w:rsidR="007B24DB" w:rsidRPr="00335653">
        <w:rPr>
          <w:rFonts w:cs="Arial"/>
          <w:szCs w:val="24"/>
        </w:rPr>
        <w:t>Response to the Sc</w:t>
      </w:r>
      <w:r w:rsidR="005F7BFA" w:rsidRPr="00335653">
        <w:rPr>
          <w:rFonts w:cs="Arial"/>
          <w:szCs w:val="24"/>
        </w:rPr>
        <w:t>ottish Government consultation on t</w:t>
      </w:r>
      <w:r w:rsidR="007B24DB" w:rsidRPr="00335653">
        <w:rPr>
          <w:rFonts w:cs="Arial"/>
          <w:szCs w:val="24"/>
        </w:rPr>
        <w:t xml:space="preserve">he Carloway Report. </w:t>
      </w:r>
      <w:r w:rsidR="00B27989">
        <w:rPr>
          <w:rFonts w:cs="Arial"/>
          <w:szCs w:val="24"/>
        </w:rPr>
        <w:tab/>
      </w:r>
      <w:r w:rsidRPr="00335653">
        <w:rPr>
          <w:rFonts w:cs="Arial"/>
          <w:szCs w:val="24"/>
        </w:rPr>
        <w:t>Reforming Sco</w:t>
      </w:r>
      <w:r w:rsidR="007B24DB" w:rsidRPr="00335653">
        <w:rPr>
          <w:rFonts w:cs="Arial"/>
          <w:szCs w:val="24"/>
        </w:rPr>
        <w:t>ts Criminal</w:t>
      </w:r>
      <w:r w:rsidR="001C5E36" w:rsidRPr="00335653">
        <w:rPr>
          <w:rFonts w:cs="Arial"/>
          <w:szCs w:val="24"/>
        </w:rPr>
        <w:t xml:space="preserve"> </w:t>
      </w:r>
      <w:r w:rsidR="00B27989">
        <w:rPr>
          <w:rFonts w:cs="Arial"/>
          <w:szCs w:val="24"/>
        </w:rPr>
        <w:t>Law &amp; Practice</w:t>
      </w:r>
      <w:r w:rsidR="007B24DB" w:rsidRPr="00335653">
        <w:rPr>
          <w:rFonts w:cs="Arial"/>
          <w:szCs w:val="24"/>
        </w:rPr>
        <w:t xml:space="preserve">, </w:t>
      </w:r>
      <w:r w:rsidRPr="00335653">
        <w:rPr>
          <w:rFonts w:cs="Arial"/>
          <w:szCs w:val="24"/>
        </w:rPr>
        <w:t>October 2012</w:t>
      </w:r>
    </w:p>
    <w:p w:rsidR="00DC23EA" w:rsidRPr="00B27989" w:rsidRDefault="003D1555" w:rsidP="00DA530A">
      <w:pPr>
        <w:jc w:val="left"/>
        <w:rPr>
          <w:rFonts w:cs="Arial"/>
          <w:sz w:val="22"/>
          <w:szCs w:val="22"/>
        </w:rPr>
      </w:pPr>
      <w:hyperlink r:id="rId12" w:history="1">
        <w:r w:rsidR="00DC23EA" w:rsidRPr="00B27989">
          <w:rPr>
            <w:rStyle w:val="Hyperlink"/>
            <w:rFonts w:cs="Arial"/>
            <w:sz w:val="22"/>
            <w:szCs w:val="22"/>
          </w:rPr>
          <w:t>http://scottishhumanrights.com/resources/policysubmissions/criminallaw2012</w:t>
        </w:r>
      </w:hyperlink>
    </w:p>
    <w:p w:rsidR="005F7BFA" w:rsidRPr="00335653" w:rsidRDefault="005F7BFA" w:rsidP="00DA530A">
      <w:pPr>
        <w:jc w:val="left"/>
        <w:rPr>
          <w:rFonts w:cs="Arial"/>
          <w:szCs w:val="24"/>
        </w:rPr>
      </w:pPr>
    </w:p>
    <w:p w:rsidR="00DA530A" w:rsidRPr="00335653" w:rsidRDefault="00DA530A" w:rsidP="00DA530A">
      <w:pPr>
        <w:jc w:val="left"/>
        <w:rPr>
          <w:rFonts w:cs="Arial"/>
          <w:szCs w:val="24"/>
        </w:rPr>
      </w:pPr>
    </w:p>
    <w:p w:rsidR="00DA530A" w:rsidRPr="00335653" w:rsidRDefault="00F24962" w:rsidP="00DA530A">
      <w:pPr>
        <w:jc w:val="left"/>
        <w:rPr>
          <w:rFonts w:cs="Arial"/>
          <w:szCs w:val="24"/>
        </w:rPr>
      </w:pPr>
      <w:r w:rsidRPr="00335653">
        <w:rPr>
          <w:rFonts w:cs="Arial"/>
          <w:szCs w:val="24"/>
        </w:rPr>
        <w:lastRenderedPageBreak/>
        <w:t xml:space="preserve">3. </w:t>
      </w:r>
      <w:r w:rsidR="001C5E36" w:rsidRPr="00335653">
        <w:rPr>
          <w:rFonts w:cs="Arial"/>
          <w:szCs w:val="24"/>
        </w:rPr>
        <w:tab/>
      </w:r>
      <w:r w:rsidR="007B24DB" w:rsidRPr="00335653">
        <w:rPr>
          <w:rFonts w:cs="Arial"/>
          <w:szCs w:val="24"/>
        </w:rPr>
        <w:t>Response to the Scottish Government</w:t>
      </w:r>
      <w:r w:rsidR="00DC23EA" w:rsidRPr="00335653">
        <w:rPr>
          <w:rFonts w:cs="Arial"/>
          <w:szCs w:val="24"/>
        </w:rPr>
        <w:t xml:space="preserve"> - Reforming Scots Criminal</w:t>
      </w:r>
      <w:r w:rsidR="001C5E36" w:rsidRPr="00335653">
        <w:rPr>
          <w:rFonts w:cs="Arial"/>
          <w:szCs w:val="24"/>
        </w:rPr>
        <w:t xml:space="preserve"> </w:t>
      </w:r>
      <w:r w:rsidR="00DC23EA" w:rsidRPr="00335653">
        <w:rPr>
          <w:rFonts w:cs="Arial"/>
          <w:szCs w:val="24"/>
        </w:rPr>
        <w:t>Law and</w:t>
      </w:r>
      <w:r w:rsidR="001C5E36" w:rsidRPr="00335653">
        <w:rPr>
          <w:rFonts w:cs="Arial"/>
          <w:szCs w:val="24"/>
        </w:rPr>
        <w:t xml:space="preserve"> </w:t>
      </w:r>
      <w:r w:rsidR="001C5E36" w:rsidRPr="00335653">
        <w:rPr>
          <w:rFonts w:cs="Arial"/>
          <w:szCs w:val="24"/>
        </w:rPr>
        <w:tab/>
        <w:t>P</w:t>
      </w:r>
      <w:r w:rsidR="00DC23EA" w:rsidRPr="00335653">
        <w:rPr>
          <w:rFonts w:cs="Arial"/>
          <w:szCs w:val="24"/>
        </w:rPr>
        <w:t>ractice: Additional Safeguards</w:t>
      </w:r>
      <w:r w:rsidR="00524A43" w:rsidRPr="00335653">
        <w:rPr>
          <w:rFonts w:cs="Arial"/>
          <w:szCs w:val="24"/>
        </w:rPr>
        <w:t xml:space="preserve"> following the Removal of the </w:t>
      </w:r>
      <w:r w:rsidR="00DA530A" w:rsidRPr="00335653">
        <w:rPr>
          <w:rFonts w:cs="Arial"/>
          <w:szCs w:val="24"/>
        </w:rPr>
        <w:t xml:space="preserve">Requirement </w:t>
      </w:r>
      <w:r w:rsidR="001C5E36" w:rsidRPr="00335653">
        <w:rPr>
          <w:rFonts w:cs="Arial"/>
          <w:szCs w:val="24"/>
        </w:rPr>
        <w:t>f</w:t>
      </w:r>
      <w:r w:rsidR="00DA530A" w:rsidRPr="00335653">
        <w:rPr>
          <w:rFonts w:cs="Arial"/>
          <w:szCs w:val="24"/>
        </w:rPr>
        <w:t>or</w:t>
      </w:r>
      <w:r w:rsidR="001C5E36" w:rsidRPr="00335653">
        <w:rPr>
          <w:rFonts w:cs="Arial"/>
          <w:szCs w:val="24"/>
        </w:rPr>
        <w:t xml:space="preserve"> </w:t>
      </w:r>
      <w:r w:rsidR="001C5E36" w:rsidRPr="00335653">
        <w:rPr>
          <w:rFonts w:cs="Arial"/>
          <w:szCs w:val="24"/>
        </w:rPr>
        <w:tab/>
      </w:r>
      <w:r w:rsidR="00524A43" w:rsidRPr="00335653">
        <w:rPr>
          <w:rFonts w:cs="Arial"/>
          <w:szCs w:val="24"/>
        </w:rPr>
        <w:t xml:space="preserve">Corroboration, </w:t>
      </w:r>
      <w:r w:rsidR="00DC23EA" w:rsidRPr="00335653">
        <w:rPr>
          <w:rFonts w:cs="Arial"/>
          <w:szCs w:val="24"/>
        </w:rPr>
        <w:t>March 2013</w:t>
      </w:r>
      <w:r w:rsidR="001C5E36" w:rsidRPr="00335653">
        <w:rPr>
          <w:rFonts w:cs="Arial"/>
          <w:szCs w:val="24"/>
        </w:rPr>
        <w:t>.</w:t>
      </w:r>
    </w:p>
    <w:p w:rsidR="00DC23EA" w:rsidRPr="00B27989" w:rsidRDefault="003D1555" w:rsidP="00DA530A">
      <w:pPr>
        <w:rPr>
          <w:rFonts w:cs="Arial"/>
          <w:sz w:val="22"/>
          <w:szCs w:val="22"/>
        </w:rPr>
      </w:pPr>
      <w:hyperlink r:id="rId13" w:history="1">
        <w:r w:rsidR="00DA530A" w:rsidRPr="00B27989">
          <w:rPr>
            <w:rStyle w:val="Hyperlink"/>
            <w:rFonts w:cs="Arial"/>
            <w:sz w:val="22"/>
            <w:szCs w:val="22"/>
          </w:rPr>
          <w:t>http://scottishhumanrights.com/resources/policysubmissions/corroborationmarch2013</w:t>
        </w:r>
      </w:hyperlink>
    </w:p>
    <w:p w:rsidR="00DC23EA" w:rsidRPr="00335653" w:rsidRDefault="00DC23EA" w:rsidP="00DC23EA">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1C5E36" w:rsidRPr="00335653" w:rsidRDefault="00F24962" w:rsidP="001C5E36">
      <w:pPr>
        <w:jc w:val="left"/>
        <w:rPr>
          <w:rFonts w:cs="Arial"/>
          <w:szCs w:val="24"/>
        </w:rPr>
      </w:pPr>
      <w:r w:rsidRPr="00335653">
        <w:rPr>
          <w:rFonts w:cs="Arial"/>
          <w:szCs w:val="24"/>
        </w:rPr>
        <w:t xml:space="preserve">4. </w:t>
      </w:r>
      <w:r w:rsidR="001C5E36" w:rsidRPr="00335653">
        <w:rPr>
          <w:rFonts w:cs="Arial"/>
          <w:szCs w:val="24"/>
        </w:rPr>
        <w:tab/>
        <w:t xml:space="preserve">Response to the Scottish Parliament Justice Committee </w:t>
      </w:r>
      <w:r w:rsidR="00DC23EA" w:rsidRPr="00335653">
        <w:rPr>
          <w:rFonts w:cs="Arial"/>
          <w:szCs w:val="24"/>
        </w:rPr>
        <w:t>- C</w:t>
      </w:r>
      <w:r w:rsidR="001C5E36" w:rsidRPr="00335653">
        <w:rPr>
          <w:rFonts w:cs="Arial"/>
          <w:szCs w:val="24"/>
        </w:rPr>
        <w:t xml:space="preserve">riminal Justice </w:t>
      </w:r>
      <w:r w:rsidR="001C5E36" w:rsidRPr="00335653">
        <w:rPr>
          <w:rFonts w:cs="Arial"/>
          <w:szCs w:val="24"/>
        </w:rPr>
        <w:tab/>
        <w:t xml:space="preserve">(Scotland) Bill, </w:t>
      </w:r>
      <w:r w:rsidR="00DC23EA" w:rsidRPr="00335653">
        <w:rPr>
          <w:rFonts w:cs="Arial"/>
          <w:szCs w:val="24"/>
        </w:rPr>
        <w:t>August 2013</w:t>
      </w:r>
    </w:p>
    <w:p w:rsidR="00F24962" w:rsidRPr="00B27989" w:rsidRDefault="003D1555" w:rsidP="001C5E36">
      <w:pPr>
        <w:jc w:val="left"/>
        <w:rPr>
          <w:rFonts w:cs="Arial"/>
          <w:sz w:val="22"/>
          <w:szCs w:val="22"/>
          <w:lang w:val="en" w:eastAsia="en-GB"/>
        </w:rPr>
      </w:pPr>
      <w:hyperlink r:id="rId14" w:history="1">
        <w:r w:rsidR="00F24962" w:rsidRPr="00B27989">
          <w:rPr>
            <w:rStyle w:val="Hyperlink"/>
            <w:rFonts w:cs="Arial"/>
            <w:sz w:val="22"/>
            <w:szCs w:val="22"/>
            <w:lang w:val="en" w:eastAsia="en-GB"/>
          </w:rPr>
          <w:t>http://scottishhumanrights.com/resources/policysubmissions/crimjusticsubmissionaug2013</w:t>
        </w:r>
      </w:hyperlink>
    </w:p>
    <w:p w:rsidR="000D697F" w:rsidRPr="00335653" w:rsidRDefault="000D697F" w:rsidP="00F24962">
      <w:pPr>
        <w:rPr>
          <w:rFonts w:cs="Arial"/>
          <w:b/>
          <w:szCs w:val="24"/>
          <w:u w:val="single"/>
        </w:rPr>
      </w:pPr>
    </w:p>
    <w:p w:rsidR="001C5E36" w:rsidRPr="00335653" w:rsidRDefault="001C5E36" w:rsidP="00F24962">
      <w:pPr>
        <w:rPr>
          <w:rFonts w:cs="Arial"/>
          <w:b/>
          <w:szCs w:val="24"/>
          <w:u w:val="single"/>
        </w:rPr>
      </w:pPr>
    </w:p>
    <w:p w:rsidR="001C5E36" w:rsidRPr="00335653" w:rsidRDefault="001C5E36" w:rsidP="00F24962">
      <w:pPr>
        <w:rPr>
          <w:rFonts w:cs="Arial"/>
          <w:szCs w:val="24"/>
        </w:rPr>
      </w:pPr>
      <w:r w:rsidRPr="00335653">
        <w:rPr>
          <w:rFonts w:cs="Arial"/>
          <w:szCs w:val="24"/>
        </w:rPr>
        <w:t xml:space="preserve">The Commission’s response should be considered within the broad framework of the United Kingdom’s human rights obligations. In particular: </w:t>
      </w:r>
    </w:p>
    <w:p w:rsidR="001C5E36" w:rsidRPr="00335653" w:rsidRDefault="001C5E36" w:rsidP="00F24962">
      <w:pPr>
        <w:rPr>
          <w:rFonts w:cs="Arial"/>
          <w:b/>
          <w:szCs w:val="24"/>
          <w:u w:val="single"/>
        </w:rPr>
      </w:pPr>
    </w:p>
    <w:p w:rsidR="000D697F" w:rsidRPr="00335653" w:rsidRDefault="001C5E36" w:rsidP="001C5E36">
      <w:pPr>
        <w:rPr>
          <w:rFonts w:cs="Arial"/>
          <w:i/>
          <w:szCs w:val="24"/>
        </w:rPr>
      </w:pPr>
      <w:r w:rsidRPr="00335653">
        <w:rPr>
          <w:rFonts w:cs="Arial"/>
          <w:i/>
          <w:szCs w:val="24"/>
        </w:rPr>
        <w:t xml:space="preserve">United Nations Human Rights </w:t>
      </w:r>
      <w:r w:rsidR="000D697F" w:rsidRPr="00335653">
        <w:rPr>
          <w:rFonts w:cs="Arial"/>
          <w:i/>
          <w:szCs w:val="24"/>
        </w:rPr>
        <w:t>Treaties</w:t>
      </w:r>
    </w:p>
    <w:p w:rsidR="00F24962" w:rsidRPr="00335653" w:rsidRDefault="001C5E36" w:rsidP="001C5E36">
      <w:pPr>
        <w:rPr>
          <w:rFonts w:cs="Arial"/>
          <w:szCs w:val="24"/>
        </w:rPr>
      </w:pPr>
      <w:r w:rsidRPr="00335653">
        <w:rPr>
          <w:rFonts w:cs="Arial"/>
          <w:szCs w:val="24"/>
        </w:rPr>
        <w:tab/>
      </w:r>
      <w:r w:rsidR="00DD4F94">
        <w:rPr>
          <w:rFonts w:cs="Arial"/>
          <w:szCs w:val="24"/>
        </w:rPr>
        <w:t>International Covenant on</w:t>
      </w:r>
      <w:r w:rsidR="00F24962" w:rsidRPr="00335653">
        <w:rPr>
          <w:rFonts w:cs="Arial"/>
          <w:szCs w:val="24"/>
        </w:rPr>
        <w:t xml:space="preserve"> Civil and Political Rights (ICCPR)</w:t>
      </w:r>
    </w:p>
    <w:p w:rsidR="000D697F" w:rsidRPr="00335653" w:rsidRDefault="001C5E36" w:rsidP="001C5E36">
      <w:pPr>
        <w:rPr>
          <w:rFonts w:cs="Arial"/>
          <w:szCs w:val="24"/>
        </w:rPr>
      </w:pPr>
      <w:r w:rsidRPr="00335653">
        <w:rPr>
          <w:rFonts w:cs="Arial"/>
          <w:szCs w:val="24"/>
        </w:rPr>
        <w:tab/>
      </w:r>
      <w:r w:rsidR="000D697F" w:rsidRPr="00335653">
        <w:rPr>
          <w:rFonts w:cs="Arial"/>
          <w:szCs w:val="24"/>
        </w:rPr>
        <w:t xml:space="preserve">Convention Against Torture and Other Cruel, Inhuman or Degrading </w:t>
      </w:r>
      <w:r w:rsidR="005F7BFA" w:rsidRPr="00335653">
        <w:rPr>
          <w:rFonts w:cs="Arial"/>
          <w:szCs w:val="24"/>
        </w:rPr>
        <w:tab/>
      </w:r>
      <w:r w:rsidR="000D697F" w:rsidRPr="00335653">
        <w:rPr>
          <w:rFonts w:cs="Arial"/>
          <w:szCs w:val="24"/>
        </w:rPr>
        <w:t>Treatment or Punishment (CAT)</w:t>
      </w:r>
    </w:p>
    <w:p w:rsidR="00F24962" w:rsidRPr="00335653" w:rsidRDefault="001C5E36" w:rsidP="001C5E36">
      <w:pPr>
        <w:rPr>
          <w:rFonts w:cs="Arial"/>
          <w:szCs w:val="24"/>
        </w:rPr>
      </w:pPr>
      <w:r w:rsidRPr="00335653">
        <w:rPr>
          <w:rFonts w:cs="Arial"/>
          <w:szCs w:val="24"/>
        </w:rPr>
        <w:tab/>
      </w:r>
      <w:r w:rsidR="00F24962" w:rsidRPr="00335653">
        <w:rPr>
          <w:rFonts w:cs="Arial"/>
          <w:szCs w:val="24"/>
        </w:rPr>
        <w:t>Convention on the Rights of the Child (CRC)</w:t>
      </w:r>
    </w:p>
    <w:p w:rsidR="00F24962" w:rsidRPr="00335653" w:rsidRDefault="001C5E36" w:rsidP="001C5E36">
      <w:pPr>
        <w:rPr>
          <w:rFonts w:cs="Arial"/>
          <w:szCs w:val="24"/>
        </w:rPr>
      </w:pPr>
      <w:r w:rsidRPr="00335653">
        <w:rPr>
          <w:rFonts w:cs="Arial"/>
          <w:szCs w:val="24"/>
        </w:rPr>
        <w:tab/>
      </w:r>
      <w:r w:rsidR="00F24962" w:rsidRPr="00335653">
        <w:rPr>
          <w:rFonts w:cs="Arial"/>
          <w:szCs w:val="24"/>
        </w:rPr>
        <w:t>Convention on the Rights of Persons with Disabilities (CRPD)</w:t>
      </w:r>
    </w:p>
    <w:p w:rsidR="000D697F" w:rsidRPr="00335653" w:rsidRDefault="000D697F" w:rsidP="001C5E36">
      <w:pPr>
        <w:rPr>
          <w:rFonts w:cs="Arial"/>
          <w:szCs w:val="24"/>
        </w:rPr>
      </w:pPr>
    </w:p>
    <w:p w:rsidR="000D697F" w:rsidRPr="00335653" w:rsidRDefault="000D697F" w:rsidP="001C5E36">
      <w:pPr>
        <w:rPr>
          <w:rFonts w:cs="Arial"/>
          <w:i/>
          <w:szCs w:val="24"/>
        </w:rPr>
      </w:pPr>
      <w:r w:rsidRPr="00335653">
        <w:rPr>
          <w:rFonts w:cs="Arial"/>
          <w:i/>
          <w:szCs w:val="24"/>
        </w:rPr>
        <w:t>U</w:t>
      </w:r>
      <w:r w:rsidR="001C5E36" w:rsidRPr="00335653">
        <w:rPr>
          <w:rFonts w:cs="Arial"/>
          <w:i/>
          <w:szCs w:val="24"/>
        </w:rPr>
        <w:t xml:space="preserve">nited Nations </w:t>
      </w:r>
      <w:r w:rsidRPr="00335653">
        <w:rPr>
          <w:rFonts w:cs="Arial"/>
          <w:i/>
          <w:szCs w:val="24"/>
        </w:rPr>
        <w:t>Rules</w:t>
      </w:r>
    </w:p>
    <w:p w:rsidR="00F24962" w:rsidRPr="00335653" w:rsidRDefault="001C5E36" w:rsidP="001C5E36">
      <w:pPr>
        <w:rPr>
          <w:rFonts w:cs="Arial"/>
          <w:szCs w:val="24"/>
        </w:rPr>
      </w:pPr>
      <w:r w:rsidRPr="00335653">
        <w:rPr>
          <w:rFonts w:cs="Arial"/>
          <w:szCs w:val="24"/>
        </w:rPr>
        <w:tab/>
      </w:r>
      <w:r w:rsidR="00F24962" w:rsidRPr="00335653">
        <w:rPr>
          <w:rFonts w:cs="Arial"/>
          <w:szCs w:val="24"/>
        </w:rPr>
        <w:t xml:space="preserve">United Nations Standard Minimum Rules for the Administration of Juvenile </w:t>
      </w:r>
      <w:r w:rsidR="005F7BFA" w:rsidRPr="00335653">
        <w:rPr>
          <w:rFonts w:cs="Arial"/>
          <w:szCs w:val="24"/>
        </w:rPr>
        <w:tab/>
      </w:r>
      <w:r w:rsidR="00F24962" w:rsidRPr="00335653">
        <w:rPr>
          <w:rFonts w:cs="Arial"/>
          <w:szCs w:val="24"/>
        </w:rPr>
        <w:t>Justice (The Beijing Rules)</w:t>
      </w:r>
    </w:p>
    <w:p w:rsidR="00F24962" w:rsidRPr="00335653" w:rsidRDefault="001C5E36" w:rsidP="001C5E36">
      <w:pPr>
        <w:rPr>
          <w:rFonts w:cs="Arial"/>
          <w:szCs w:val="24"/>
        </w:rPr>
      </w:pPr>
      <w:r w:rsidRPr="00335653">
        <w:rPr>
          <w:rFonts w:cs="Arial"/>
          <w:szCs w:val="24"/>
        </w:rPr>
        <w:tab/>
      </w:r>
      <w:r w:rsidR="00F24962" w:rsidRPr="00335653">
        <w:rPr>
          <w:rFonts w:cs="Arial"/>
          <w:szCs w:val="24"/>
        </w:rPr>
        <w:t xml:space="preserve">United Nations Rules for the Protection of Juveniles Deprived of their Liberty </w:t>
      </w:r>
      <w:r w:rsidR="005F7BFA" w:rsidRPr="00335653">
        <w:rPr>
          <w:rFonts w:cs="Arial"/>
          <w:szCs w:val="24"/>
        </w:rPr>
        <w:tab/>
      </w:r>
      <w:r w:rsidR="00F24962" w:rsidRPr="00335653">
        <w:rPr>
          <w:rFonts w:cs="Arial"/>
          <w:szCs w:val="24"/>
        </w:rPr>
        <w:t>(the</w:t>
      </w:r>
      <w:r w:rsidR="005F7BFA" w:rsidRPr="00335653">
        <w:rPr>
          <w:rFonts w:cs="Arial"/>
          <w:szCs w:val="24"/>
        </w:rPr>
        <w:t xml:space="preserve"> </w:t>
      </w:r>
      <w:r w:rsidR="00F24962" w:rsidRPr="00335653">
        <w:rPr>
          <w:rFonts w:cs="Arial"/>
          <w:szCs w:val="24"/>
        </w:rPr>
        <w:t>JDL Rules)</w:t>
      </w:r>
    </w:p>
    <w:p w:rsidR="001C5E36" w:rsidRPr="00335653" w:rsidRDefault="001C5E36" w:rsidP="001C5E36">
      <w:pPr>
        <w:rPr>
          <w:rFonts w:cs="Arial"/>
          <w:szCs w:val="24"/>
        </w:rPr>
      </w:pPr>
    </w:p>
    <w:p w:rsidR="001C5E36" w:rsidRPr="00335653" w:rsidRDefault="001C5E36" w:rsidP="001C5E36">
      <w:pPr>
        <w:rPr>
          <w:rFonts w:cs="Arial"/>
          <w:szCs w:val="24"/>
        </w:rPr>
      </w:pPr>
      <w:r w:rsidRPr="00335653">
        <w:rPr>
          <w:rFonts w:cs="Arial"/>
          <w:i/>
          <w:szCs w:val="24"/>
        </w:rPr>
        <w:t>European Convention of Human Rights (ECHR)</w:t>
      </w:r>
      <w:r w:rsidR="00F45177" w:rsidRPr="00335653">
        <w:rPr>
          <w:rFonts w:cs="Arial"/>
          <w:szCs w:val="24"/>
        </w:rPr>
        <w:t>, as incorporated into domestic law by the Scotland act 1998 and Human Rights Act 1998</w:t>
      </w:r>
    </w:p>
    <w:p w:rsidR="001C5E36" w:rsidRPr="00335653" w:rsidRDefault="001C5E36" w:rsidP="001C5E36">
      <w:pPr>
        <w:rPr>
          <w:rFonts w:cs="Arial"/>
          <w:szCs w:val="24"/>
        </w:rPr>
      </w:pPr>
      <w:r w:rsidRPr="00335653">
        <w:rPr>
          <w:rFonts w:cs="Arial"/>
          <w:szCs w:val="24"/>
        </w:rPr>
        <w:t xml:space="preserve">The following articles of </w:t>
      </w:r>
      <w:proofErr w:type="spellStart"/>
      <w:r w:rsidRPr="00335653">
        <w:rPr>
          <w:rFonts w:cs="Arial"/>
          <w:szCs w:val="24"/>
        </w:rPr>
        <w:t>ECHR</w:t>
      </w:r>
      <w:proofErr w:type="spellEnd"/>
      <w:r w:rsidRPr="00335653">
        <w:rPr>
          <w:rFonts w:cs="Arial"/>
          <w:szCs w:val="24"/>
        </w:rPr>
        <w:t xml:space="preserve"> are particularly relevant:</w:t>
      </w:r>
    </w:p>
    <w:p w:rsidR="001C5E36" w:rsidRPr="00335653" w:rsidRDefault="001C5E36" w:rsidP="001C5E36">
      <w:pPr>
        <w:rPr>
          <w:rFonts w:cs="Arial"/>
          <w:szCs w:val="24"/>
        </w:rPr>
      </w:pPr>
      <w:r w:rsidRPr="00335653">
        <w:rPr>
          <w:rFonts w:cs="Arial"/>
          <w:szCs w:val="24"/>
        </w:rPr>
        <w:tab/>
        <w:t>Article 2 – Right to life</w:t>
      </w:r>
    </w:p>
    <w:p w:rsidR="001C5E36" w:rsidRPr="00335653" w:rsidRDefault="001C5E36" w:rsidP="001C5E36">
      <w:pPr>
        <w:rPr>
          <w:rFonts w:cs="Arial"/>
          <w:szCs w:val="24"/>
        </w:rPr>
      </w:pPr>
      <w:r w:rsidRPr="00335653">
        <w:rPr>
          <w:rFonts w:cs="Arial"/>
          <w:szCs w:val="24"/>
        </w:rPr>
        <w:tab/>
        <w:t>Article 3 – Prohibition on Torture, Inhuman and Degrading Treatment</w:t>
      </w:r>
    </w:p>
    <w:p w:rsidR="001C5E36" w:rsidRPr="00335653" w:rsidRDefault="001C5E36" w:rsidP="001C5E36">
      <w:pPr>
        <w:rPr>
          <w:rFonts w:cs="Arial"/>
          <w:szCs w:val="24"/>
        </w:rPr>
      </w:pPr>
      <w:r w:rsidRPr="00335653">
        <w:rPr>
          <w:rFonts w:cs="Arial"/>
          <w:szCs w:val="24"/>
        </w:rPr>
        <w:tab/>
        <w:t>Article 5 – Right to liberty and security of person</w:t>
      </w:r>
    </w:p>
    <w:p w:rsidR="001C5E36" w:rsidRPr="00335653" w:rsidRDefault="001C5E36" w:rsidP="001C5E36">
      <w:pPr>
        <w:rPr>
          <w:rFonts w:cs="Arial"/>
          <w:szCs w:val="24"/>
        </w:rPr>
      </w:pPr>
      <w:r w:rsidRPr="00335653">
        <w:rPr>
          <w:rFonts w:cs="Arial"/>
          <w:szCs w:val="24"/>
        </w:rPr>
        <w:tab/>
        <w:t>Article 6 – Right to a fair trial</w:t>
      </w:r>
    </w:p>
    <w:p w:rsidR="001C5E36" w:rsidRPr="00335653" w:rsidRDefault="001C5E36" w:rsidP="001C5E36">
      <w:pPr>
        <w:rPr>
          <w:rFonts w:cs="Arial"/>
          <w:szCs w:val="24"/>
        </w:rPr>
      </w:pPr>
      <w:r w:rsidRPr="00335653">
        <w:rPr>
          <w:rFonts w:cs="Arial"/>
          <w:szCs w:val="24"/>
        </w:rPr>
        <w:tab/>
        <w:t xml:space="preserve">Article 7 – </w:t>
      </w:r>
      <w:r w:rsidR="00F45177" w:rsidRPr="00335653">
        <w:rPr>
          <w:rFonts w:cs="Arial"/>
          <w:szCs w:val="24"/>
        </w:rPr>
        <w:t>N</w:t>
      </w:r>
      <w:r w:rsidRPr="00335653">
        <w:rPr>
          <w:rFonts w:cs="Arial"/>
          <w:szCs w:val="24"/>
        </w:rPr>
        <w:t>o punishment without law</w:t>
      </w:r>
    </w:p>
    <w:p w:rsidR="001C5E36" w:rsidRPr="00335653" w:rsidRDefault="001C5E36" w:rsidP="001C5E36">
      <w:pPr>
        <w:rPr>
          <w:rFonts w:cs="Arial"/>
          <w:szCs w:val="24"/>
        </w:rPr>
      </w:pPr>
      <w:r w:rsidRPr="00335653">
        <w:rPr>
          <w:rFonts w:cs="Arial"/>
          <w:szCs w:val="24"/>
        </w:rPr>
        <w:tab/>
        <w:t>Article 8 – Right to private and family life</w:t>
      </w:r>
    </w:p>
    <w:p w:rsidR="001C5E36" w:rsidRPr="00335653" w:rsidRDefault="001C5E36" w:rsidP="001C5E36">
      <w:pPr>
        <w:rPr>
          <w:rFonts w:cs="Arial"/>
          <w:szCs w:val="24"/>
        </w:rPr>
      </w:pPr>
      <w:r w:rsidRPr="00335653">
        <w:rPr>
          <w:rFonts w:cs="Arial"/>
          <w:szCs w:val="24"/>
        </w:rPr>
        <w:tab/>
        <w:t>Article 14 – Non-discrimination</w:t>
      </w:r>
    </w:p>
    <w:p w:rsidR="001C5E36" w:rsidRPr="00335653" w:rsidRDefault="001C5E36" w:rsidP="001C5E36">
      <w:pPr>
        <w:rPr>
          <w:rFonts w:cs="Arial"/>
          <w:szCs w:val="24"/>
        </w:rPr>
      </w:pPr>
    </w:p>
    <w:p w:rsidR="00F24962" w:rsidRPr="00335653" w:rsidRDefault="00F24962" w:rsidP="00F24962">
      <w:pPr>
        <w:rPr>
          <w:rFonts w:cs="Arial"/>
          <w:szCs w:val="24"/>
        </w:rPr>
      </w:pPr>
    </w:p>
    <w:p w:rsidR="00F24962" w:rsidRPr="00335653" w:rsidRDefault="00F24962" w:rsidP="00F24962">
      <w:pPr>
        <w:rPr>
          <w:rFonts w:cs="Arial"/>
          <w:szCs w:val="24"/>
        </w:rPr>
      </w:pPr>
    </w:p>
    <w:p w:rsidR="00F24962" w:rsidRPr="00335653" w:rsidRDefault="00F24962" w:rsidP="001C5E36">
      <w:pPr>
        <w:rPr>
          <w:rFonts w:cs="Arial"/>
          <w:szCs w:val="24"/>
        </w:rPr>
      </w:pPr>
    </w:p>
    <w:p w:rsidR="00A17789" w:rsidRPr="00335653" w:rsidRDefault="00A17789" w:rsidP="00DC23EA">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335653">
        <w:rPr>
          <w:rFonts w:cs="Arial"/>
          <w:b/>
          <w:szCs w:val="24"/>
        </w:rPr>
        <w:br w:type="page"/>
      </w:r>
    </w:p>
    <w:p w:rsidR="000E2A92" w:rsidRPr="00335653" w:rsidRDefault="000E2A92" w:rsidP="000E2A92">
      <w:pPr>
        <w:tabs>
          <w:tab w:val="clear" w:pos="720"/>
          <w:tab w:val="clear" w:pos="1440"/>
          <w:tab w:val="clear" w:pos="2160"/>
          <w:tab w:val="clear" w:pos="2880"/>
        </w:tabs>
        <w:autoSpaceDE w:val="0"/>
        <w:autoSpaceDN w:val="0"/>
        <w:adjustRightInd w:val="0"/>
        <w:ind w:left="4680" w:hanging="4680"/>
        <w:jc w:val="center"/>
        <w:rPr>
          <w:rFonts w:cs="Arial"/>
          <w:b/>
          <w:szCs w:val="24"/>
        </w:rPr>
      </w:pPr>
      <w:r w:rsidRPr="00335653">
        <w:rPr>
          <w:rFonts w:cs="Arial"/>
          <w:b/>
          <w:szCs w:val="24"/>
        </w:rPr>
        <w:lastRenderedPageBreak/>
        <w:t>Consultation Questions</w:t>
      </w:r>
    </w:p>
    <w:p w:rsidR="000E2A92" w:rsidRPr="00335653" w:rsidRDefault="000E2A92" w:rsidP="000E2A92">
      <w:pPr>
        <w:tabs>
          <w:tab w:val="clear" w:pos="720"/>
          <w:tab w:val="clear" w:pos="1440"/>
          <w:tab w:val="clear" w:pos="2160"/>
          <w:tab w:val="clear" w:pos="2880"/>
        </w:tabs>
        <w:autoSpaceDE w:val="0"/>
        <w:autoSpaceDN w:val="0"/>
        <w:adjustRightInd w:val="0"/>
        <w:ind w:left="4680" w:hanging="4680"/>
        <w:rPr>
          <w:rFonts w:cs="Arial"/>
          <w:b/>
          <w:szCs w:val="24"/>
        </w:rPr>
      </w:pPr>
    </w:p>
    <w:p w:rsidR="000E2A92" w:rsidRPr="00335653" w:rsidRDefault="000E2A92" w:rsidP="000E2A92">
      <w:pPr>
        <w:tabs>
          <w:tab w:val="clear" w:pos="720"/>
          <w:tab w:val="clear" w:pos="1440"/>
          <w:tab w:val="clear" w:pos="2160"/>
          <w:tab w:val="clear" w:pos="2880"/>
        </w:tabs>
        <w:autoSpaceDE w:val="0"/>
        <w:autoSpaceDN w:val="0"/>
        <w:adjustRightInd w:val="0"/>
        <w:ind w:left="4680" w:hanging="4680"/>
        <w:rPr>
          <w:rFonts w:cs="Arial"/>
          <w:b/>
          <w:szCs w:val="24"/>
        </w:rPr>
      </w:pPr>
    </w:p>
    <w:p w:rsidR="000E2A92" w:rsidRPr="00335653" w:rsidRDefault="000E2A92" w:rsidP="000E2A92">
      <w:pPr>
        <w:tabs>
          <w:tab w:val="clear" w:pos="720"/>
          <w:tab w:val="clear" w:pos="1440"/>
          <w:tab w:val="clear" w:pos="2160"/>
          <w:tab w:val="clear" w:pos="2880"/>
        </w:tabs>
        <w:autoSpaceDE w:val="0"/>
        <w:autoSpaceDN w:val="0"/>
        <w:adjustRightInd w:val="0"/>
        <w:ind w:left="4680" w:hanging="4680"/>
        <w:rPr>
          <w:rFonts w:cs="Arial"/>
          <w:b/>
          <w:szCs w:val="24"/>
          <w:u w:val="single"/>
        </w:rPr>
      </w:pPr>
      <w:r w:rsidRPr="00335653">
        <w:rPr>
          <w:rFonts w:cs="Arial"/>
          <w:b/>
          <w:szCs w:val="24"/>
          <w:u w:val="single"/>
        </w:rPr>
        <w:t>Question 1</w:t>
      </w:r>
    </w:p>
    <w:p w:rsidR="000E2A92" w:rsidRPr="00335653" w:rsidRDefault="000E2A92" w:rsidP="000E2A92">
      <w:pPr>
        <w:tabs>
          <w:tab w:val="clear" w:pos="720"/>
          <w:tab w:val="clear" w:pos="1440"/>
          <w:tab w:val="clear" w:pos="2160"/>
          <w:tab w:val="clear" w:pos="2880"/>
        </w:tabs>
        <w:autoSpaceDE w:val="0"/>
        <w:autoSpaceDN w:val="0"/>
        <w:adjustRightInd w:val="0"/>
        <w:ind w:left="4680" w:hanging="4680"/>
        <w:rPr>
          <w:rFonts w:cs="Arial"/>
          <w:b/>
          <w:szCs w:val="24"/>
        </w:rPr>
      </w:pPr>
    </w:p>
    <w:p w:rsidR="000E2A92" w:rsidRPr="00335653" w:rsidRDefault="000E2A92" w:rsidP="000E2A92">
      <w:pPr>
        <w:tabs>
          <w:tab w:val="clear" w:pos="720"/>
          <w:tab w:val="clear" w:pos="1440"/>
          <w:tab w:val="clear" w:pos="2160"/>
          <w:tab w:val="clear" w:pos="2880"/>
        </w:tabs>
        <w:autoSpaceDE w:val="0"/>
        <w:autoSpaceDN w:val="0"/>
        <w:adjustRightInd w:val="0"/>
        <w:ind w:left="4680" w:hanging="4680"/>
        <w:rPr>
          <w:rFonts w:cs="Arial"/>
          <w:b/>
          <w:szCs w:val="24"/>
        </w:rPr>
      </w:pPr>
      <w:r w:rsidRPr="00335653">
        <w:rPr>
          <w:rFonts w:cs="Arial"/>
          <w:b/>
          <w:szCs w:val="24"/>
        </w:rPr>
        <w:t>Statutory Police Guidelines</w:t>
      </w:r>
    </w:p>
    <w:p w:rsidR="009232EF" w:rsidRPr="00335653" w:rsidRDefault="009232EF" w:rsidP="009232EF">
      <w:pPr>
        <w:jc w:val="left"/>
        <w:rPr>
          <w:rFonts w:cs="Arial"/>
          <w:b/>
          <w:szCs w:val="24"/>
        </w:rPr>
      </w:pPr>
    </w:p>
    <w:p w:rsidR="000E2A92" w:rsidRPr="00335653" w:rsidRDefault="000E2A92" w:rsidP="000E2A92">
      <w:pPr>
        <w:rPr>
          <w:rFonts w:cs="Arial"/>
          <w:b/>
          <w:szCs w:val="24"/>
        </w:rPr>
      </w:pPr>
      <w:r w:rsidRPr="00335653">
        <w:rPr>
          <w:rFonts w:cs="Arial"/>
          <w:b/>
          <w:szCs w:val="24"/>
        </w:rPr>
        <w:t>Question 1</w:t>
      </w:r>
      <w:r w:rsidR="002B13F0" w:rsidRPr="00335653">
        <w:rPr>
          <w:rFonts w:cs="Arial"/>
          <w:b/>
          <w:szCs w:val="24"/>
        </w:rPr>
        <w:t>)</w:t>
      </w:r>
      <w:r w:rsidRPr="00335653">
        <w:rPr>
          <w:rFonts w:cs="Arial"/>
          <w:b/>
          <w:szCs w:val="24"/>
        </w:rPr>
        <w:t xml:space="preserve"> - Do you agree that Codes of Practice governing key aspects of the gathering of evidence by the police in criminal cases (such as interviewing suspects and conducting identification procedures) should be required by statute?</w:t>
      </w:r>
    </w:p>
    <w:p w:rsidR="000E2A92" w:rsidRPr="00335653" w:rsidRDefault="000E2A92" w:rsidP="000E2A92">
      <w:pPr>
        <w:rPr>
          <w:rFonts w:cs="Arial"/>
          <w:szCs w:val="24"/>
        </w:rPr>
      </w:pPr>
    </w:p>
    <w:p w:rsidR="000E2A92" w:rsidRPr="00335653" w:rsidRDefault="000E2A92" w:rsidP="000E2A92">
      <w:pPr>
        <w:rPr>
          <w:rFonts w:cs="Arial"/>
          <w:szCs w:val="24"/>
        </w:rPr>
      </w:pPr>
      <w:r w:rsidRPr="00335653">
        <w:rPr>
          <w:rFonts w:cs="Arial"/>
          <w:szCs w:val="24"/>
        </w:rPr>
        <w:t xml:space="preserve">Yes  </w:t>
      </w:r>
      <w:bookmarkStart w:id="2" w:name="Check1"/>
      <w:r w:rsidR="00991AFB" w:rsidRPr="00335653">
        <w:rPr>
          <w:rFonts w:cs="Arial"/>
          <w:szCs w:val="24"/>
        </w:rPr>
        <w:fldChar w:fldCharType="begin">
          <w:ffData>
            <w:name w:val="Check1"/>
            <w:enabled/>
            <w:calcOnExit w:val="0"/>
            <w:checkBox>
              <w:sizeAuto/>
              <w:default w:val="1"/>
            </w:checkBox>
          </w:ffData>
        </w:fldChar>
      </w:r>
      <w:r w:rsidR="00991AFB" w:rsidRPr="00335653">
        <w:rPr>
          <w:rFonts w:cs="Arial"/>
          <w:szCs w:val="24"/>
        </w:rPr>
        <w:instrText xml:space="preserve"> FORMCHECKBOX </w:instrText>
      </w:r>
      <w:r w:rsidR="00991AFB" w:rsidRPr="00335653">
        <w:rPr>
          <w:rFonts w:cs="Arial"/>
          <w:szCs w:val="24"/>
        </w:rPr>
      </w:r>
      <w:r w:rsidR="00991AFB" w:rsidRPr="00335653">
        <w:rPr>
          <w:rFonts w:cs="Arial"/>
          <w:szCs w:val="24"/>
        </w:rPr>
        <w:fldChar w:fldCharType="end"/>
      </w:r>
      <w:bookmarkEnd w:id="2"/>
      <w:r w:rsidRPr="00335653">
        <w:rPr>
          <w:rFonts w:cs="Arial"/>
          <w:szCs w:val="24"/>
        </w:rPr>
        <w:t xml:space="preserve">  No  </w:t>
      </w:r>
      <w:r w:rsidRPr="00335653">
        <w:rPr>
          <w:rFonts w:cs="Arial"/>
          <w:szCs w:val="24"/>
        </w:rPr>
        <w:fldChar w:fldCharType="begin">
          <w:ffData>
            <w:name w:val="Check2"/>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p>
    <w:p w:rsidR="000E2A92" w:rsidRPr="00335653" w:rsidRDefault="000E2A92" w:rsidP="000E2A92">
      <w:pPr>
        <w:rPr>
          <w:rFonts w:cs="Arial"/>
          <w:i/>
          <w:szCs w:val="24"/>
        </w:rPr>
      </w:pPr>
    </w:p>
    <w:p w:rsidR="000E2A92" w:rsidRPr="00335653" w:rsidRDefault="000E2A92" w:rsidP="000E2A92">
      <w:pPr>
        <w:rPr>
          <w:rFonts w:cs="Arial"/>
          <w:i/>
          <w:szCs w:val="24"/>
        </w:rPr>
      </w:pPr>
      <w:r w:rsidRPr="00335653">
        <w:rPr>
          <w:rFonts w:cs="Arial"/>
          <w:i/>
          <w:szCs w:val="24"/>
        </w:rPr>
        <w:t>Please feel free to provide any additional comments to support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E2A92" w:rsidRPr="00335653" w:rsidTr="000E2A92">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D62350" w:rsidRPr="00335653" w:rsidRDefault="004B6553" w:rsidP="00D62350">
            <w:pPr>
              <w:pStyle w:val="Default"/>
              <w:rPr>
                <w:rStyle w:val="sfbbfee58"/>
                <w:rFonts w:ascii="Arial" w:hAnsi="Arial" w:cs="Arial"/>
              </w:rPr>
            </w:pPr>
            <w:r w:rsidRPr="00335653">
              <w:rPr>
                <w:rStyle w:val="sfbbfee58"/>
                <w:rFonts w:ascii="Arial" w:hAnsi="Arial" w:cs="Arial"/>
              </w:rPr>
              <w:t>The exercise of power by public officials must be governed by clear and publicly</w:t>
            </w:r>
            <w:r w:rsidR="00D501B4" w:rsidRPr="00335653">
              <w:rPr>
                <w:rStyle w:val="sfbbfee58"/>
                <w:rFonts w:ascii="Arial" w:hAnsi="Arial" w:cs="Arial"/>
              </w:rPr>
              <w:t xml:space="preserve"> </w:t>
            </w:r>
            <w:r w:rsidRPr="00335653">
              <w:rPr>
                <w:rStyle w:val="sfbbfee58"/>
                <w:rFonts w:ascii="Arial" w:hAnsi="Arial" w:cs="Arial"/>
              </w:rPr>
              <w:t xml:space="preserve">accessible rules of law. </w:t>
            </w:r>
            <w:r w:rsidR="00AD7393" w:rsidRPr="00335653">
              <w:rPr>
                <w:rStyle w:val="sfbbfee58"/>
                <w:rFonts w:ascii="Arial" w:hAnsi="Arial" w:cs="Arial"/>
              </w:rPr>
              <w:t>The practice and procedure relating to that law should be set out in a way that is accessible, foreseeable and precise</w:t>
            </w:r>
            <w:r w:rsidR="00BB7060" w:rsidRPr="00335653">
              <w:rPr>
                <w:rStyle w:val="sfbbfee58"/>
                <w:rFonts w:ascii="Arial" w:hAnsi="Arial" w:cs="Arial"/>
              </w:rPr>
              <w:t xml:space="preserve"> (Article 7 ECHR)</w:t>
            </w:r>
            <w:r w:rsidR="00D62350" w:rsidRPr="00335653">
              <w:rPr>
                <w:rStyle w:val="sfbbfee58"/>
                <w:rFonts w:ascii="Arial" w:hAnsi="Arial" w:cs="Arial"/>
              </w:rPr>
              <w:t xml:space="preserve">.  </w:t>
            </w:r>
          </w:p>
          <w:p w:rsidR="00D62350" w:rsidRPr="00335653" w:rsidRDefault="00D62350" w:rsidP="000F4032">
            <w:pPr>
              <w:pStyle w:val="Default"/>
              <w:rPr>
                <w:rFonts w:ascii="Arial" w:hAnsi="Arial" w:cs="Arial"/>
              </w:rPr>
            </w:pPr>
          </w:p>
          <w:p w:rsidR="00D62350" w:rsidRPr="00335653" w:rsidRDefault="00D62350" w:rsidP="00D62350">
            <w:pPr>
              <w:pStyle w:val="Default"/>
              <w:rPr>
                <w:rStyle w:val="sfbbfee58"/>
                <w:rFonts w:ascii="Arial" w:hAnsi="Arial" w:cs="Arial"/>
              </w:rPr>
            </w:pPr>
            <w:r w:rsidRPr="00335653">
              <w:rPr>
                <w:rStyle w:val="sfbbfee58"/>
                <w:rFonts w:ascii="Arial" w:hAnsi="Arial" w:cs="Arial"/>
              </w:rPr>
              <w:t>Interference with the rights of individuals is inherent in the processes related to gathering evidence. It is essential that those affected must be able to foresee the circumstances in which the law applies, how public officials will exercise powers, and the extent to which the individual’s rights will be interfered with by public officials in a given situation so that the individual can take advice and make choices accordingly</w:t>
            </w:r>
            <w:r w:rsidR="002F5C00" w:rsidRPr="00335653">
              <w:rPr>
                <w:rStyle w:val="sfbbfee58"/>
                <w:rFonts w:ascii="Arial" w:hAnsi="Arial" w:cs="Arial"/>
              </w:rPr>
              <w:t>.</w:t>
            </w:r>
            <w:r w:rsidRPr="00335653">
              <w:rPr>
                <w:rStyle w:val="FootnoteReference"/>
                <w:rFonts w:ascii="Arial" w:hAnsi="Arial" w:cs="Arial"/>
              </w:rPr>
              <w:footnoteReference w:id="3"/>
            </w:r>
            <w:r w:rsidRPr="00335653">
              <w:rPr>
                <w:rStyle w:val="sfbbfee58"/>
                <w:rFonts w:ascii="Arial" w:hAnsi="Arial" w:cs="Arial"/>
              </w:rPr>
              <w:t xml:space="preserve"> There must also be sufficient safeguards to avoid the risk of the power being abused or exercised arbitrarily.</w:t>
            </w:r>
            <w:r w:rsidR="00C021C2" w:rsidRPr="00335653">
              <w:rPr>
                <w:rStyle w:val="sfbbfee58"/>
                <w:rFonts w:ascii="Arial" w:hAnsi="Arial" w:cs="Arial"/>
              </w:rPr>
              <w:t xml:space="preserve"> </w:t>
            </w:r>
            <w:r w:rsidR="00F24962" w:rsidRPr="00335653">
              <w:rPr>
                <w:rFonts w:ascii="Arial" w:hAnsi="Arial" w:cs="Arial"/>
              </w:rPr>
              <w:t xml:space="preserve">The experience of </w:t>
            </w:r>
            <w:r w:rsidR="00F24962" w:rsidRPr="00335653">
              <w:rPr>
                <w:rFonts w:ascii="Arial" w:hAnsi="Arial" w:cs="Arial"/>
                <w:i/>
                <w:iCs/>
              </w:rPr>
              <w:t>Cadder</w:t>
            </w:r>
            <w:r w:rsidR="00F24962" w:rsidRPr="00335653">
              <w:rPr>
                <w:rFonts w:ascii="Arial" w:hAnsi="Arial" w:cs="Arial"/>
              </w:rPr>
              <w:t xml:space="preserve"> tells us that fair trial rights can be affected by the manner in which evidence is gathered during an investigation and therefore it is also important to ensure that sufficient safeguards are in place to protect </w:t>
            </w:r>
            <w:r w:rsidR="00F45177" w:rsidRPr="00335653">
              <w:rPr>
                <w:rFonts w:ascii="Arial" w:hAnsi="Arial" w:cs="Arial"/>
              </w:rPr>
              <w:t xml:space="preserve">the rights expressed in Article </w:t>
            </w:r>
            <w:r w:rsidR="00F24962" w:rsidRPr="00335653">
              <w:rPr>
                <w:rFonts w:ascii="Arial" w:hAnsi="Arial" w:cs="Arial"/>
              </w:rPr>
              <w:t xml:space="preserve">6 </w:t>
            </w:r>
            <w:r w:rsidR="00F45177" w:rsidRPr="00335653">
              <w:rPr>
                <w:rFonts w:ascii="Arial" w:hAnsi="Arial" w:cs="Arial"/>
              </w:rPr>
              <w:t>of ECHR</w:t>
            </w:r>
            <w:r w:rsidR="00F24962" w:rsidRPr="00335653">
              <w:rPr>
                <w:rFonts w:ascii="Arial" w:hAnsi="Arial" w:cs="Arial"/>
              </w:rPr>
              <w:t>. In this regard, the Commission has previously expressed a concern, which it continues to have, about the protection afforded to suspects who are questioned other than at a police station and without legal assistance having been facilitated</w:t>
            </w:r>
            <w:r w:rsidR="000307CD">
              <w:rPr>
                <w:rFonts w:ascii="Arial" w:hAnsi="Arial" w:cs="Arial"/>
              </w:rPr>
              <w:t>.</w:t>
            </w:r>
          </w:p>
          <w:p w:rsidR="00D62350" w:rsidRPr="00335653" w:rsidRDefault="00D62350" w:rsidP="00D62350">
            <w:pPr>
              <w:pStyle w:val="Default"/>
              <w:rPr>
                <w:rStyle w:val="sfbbfee58"/>
                <w:rFonts w:ascii="Arial" w:hAnsi="Arial" w:cs="Arial"/>
              </w:rPr>
            </w:pPr>
          </w:p>
          <w:p w:rsidR="00AD7393" w:rsidRPr="00335653" w:rsidRDefault="00D62350" w:rsidP="004B6553">
            <w:pPr>
              <w:spacing w:line="240" w:lineRule="auto"/>
              <w:jc w:val="left"/>
              <w:rPr>
                <w:rFonts w:cs="Arial"/>
                <w:szCs w:val="24"/>
              </w:rPr>
            </w:pPr>
            <w:r w:rsidRPr="00335653">
              <w:rPr>
                <w:rFonts w:cs="Arial"/>
                <w:szCs w:val="24"/>
              </w:rPr>
              <w:t xml:space="preserve">The </w:t>
            </w:r>
            <w:r w:rsidR="00FC0F24" w:rsidRPr="00335653">
              <w:rPr>
                <w:rFonts w:cs="Arial"/>
                <w:szCs w:val="24"/>
              </w:rPr>
              <w:t xml:space="preserve">Commission </w:t>
            </w:r>
            <w:r w:rsidRPr="00335653">
              <w:rPr>
                <w:rFonts w:cs="Arial"/>
                <w:szCs w:val="24"/>
              </w:rPr>
              <w:t>endorses the Academic Expert Group’s references to the value of statutory requirement</w:t>
            </w:r>
            <w:r w:rsidR="002F5C00" w:rsidRPr="00335653">
              <w:rPr>
                <w:rFonts w:cs="Arial"/>
                <w:szCs w:val="24"/>
              </w:rPr>
              <w:t>s</w:t>
            </w:r>
            <w:r w:rsidRPr="00335653">
              <w:rPr>
                <w:rFonts w:cs="Arial"/>
                <w:szCs w:val="24"/>
              </w:rPr>
              <w:t xml:space="preserve"> in other jurisdictions, such as through the Police and Criminal Evidence Act 1984 (PACE). </w:t>
            </w:r>
            <w:r w:rsidR="004F53DB" w:rsidRPr="00335653">
              <w:rPr>
                <w:rFonts w:cs="Arial"/>
                <w:szCs w:val="24"/>
              </w:rPr>
              <w:t>A</w:t>
            </w:r>
            <w:r w:rsidR="00C4589B" w:rsidRPr="00335653">
              <w:rPr>
                <w:rFonts w:cs="Arial"/>
                <w:szCs w:val="24"/>
              </w:rPr>
              <w:t xml:space="preserve"> statutory requirement for Codes of Practice relating to police functions is a useful way of </w:t>
            </w:r>
            <w:r w:rsidR="002F5C00" w:rsidRPr="00335653">
              <w:rPr>
                <w:rFonts w:cs="Arial"/>
                <w:szCs w:val="24"/>
              </w:rPr>
              <w:t xml:space="preserve">improving the standard and consistency of police practices, and </w:t>
            </w:r>
            <w:r w:rsidR="00C4589B" w:rsidRPr="00335653">
              <w:rPr>
                <w:rFonts w:cs="Arial"/>
                <w:szCs w:val="24"/>
              </w:rPr>
              <w:t>ensuring that both the police and the public understand the limits of the exercise of police power.</w:t>
            </w:r>
          </w:p>
          <w:p w:rsidR="00AD7393" w:rsidRPr="00335653" w:rsidRDefault="00AD7393" w:rsidP="00D90C32">
            <w:pPr>
              <w:pStyle w:val="Default"/>
              <w:rPr>
                <w:rStyle w:val="sfbbfee58"/>
                <w:rFonts w:ascii="Arial" w:hAnsi="Arial" w:cs="Arial"/>
              </w:rPr>
            </w:pPr>
          </w:p>
          <w:p w:rsidR="000E2A92" w:rsidRPr="00335653" w:rsidRDefault="00C4589B" w:rsidP="00FC0F24">
            <w:pPr>
              <w:pStyle w:val="Default"/>
              <w:rPr>
                <w:rStyle w:val="sfbbfee58"/>
                <w:rFonts w:ascii="Arial" w:hAnsi="Arial" w:cs="Arial"/>
              </w:rPr>
            </w:pPr>
            <w:r w:rsidRPr="00335653">
              <w:rPr>
                <w:rStyle w:val="sfbbfee58"/>
                <w:rFonts w:ascii="Arial" w:hAnsi="Arial" w:cs="Arial"/>
              </w:rPr>
              <w:t xml:space="preserve">In 2012 the </w:t>
            </w:r>
            <w:r w:rsidR="00AE0EF7" w:rsidRPr="00335653">
              <w:rPr>
                <w:rStyle w:val="sfbbfee58"/>
                <w:rFonts w:ascii="Arial" w:hAnsi="Arial" w:cs="Arial"/>
              </w:rPr>
              <w:t>Commission</w:t>
            </w:r>
            <w:r w:rsidRPr="00335653">
              <w:rPr>
                <w:rStyle w:val="sfbbfee58"/>
                <w:rFonts w:ascii="Arial" w:hAnsi="Arial" w:cs="Arial"/>
              </w:rPr>
              <w:t xml:space="preserve"> published the findings of a three year research project on the realisation of internationally recognised human rights in Scotland</w:t>
            </w:r>
            <w:r w:rsidR="00C021C2" w:rsidRPr="00335653">
              <w:rPr>
                <w:rStyle w:val="sfbbfee58"/>
                <w:rFonts w:ascii="Arial" w:hAnsi="Arial" w:cs="Arial"/>
              </w:rPr>
              <w:t>.</w:t>
            </w:r>
            <w:r w:rsidR="00C021C2" w:rsidRPr="00335653">
              <w:rPr>
                <w:rStyle w:val="FootnoteReference"/>
                <w:rFonts w:ascii="Arial" w:hAnsi="Arial" w:cs="Arial"/>
              </w:rPr>
              <w:footnoteReference w:id="4"/>
            </w:r>
            <w:r w:rsidRPr="00335653">
              <w:rPr>
                <w:rStyle w:val="sfbbfee58"/>
                <w:rFonts w:ascii="Arial" w:hAnsi="Arial" w:cs="Arial"/>
              </w:rPr>
              <w:t xml:space="preserve"> That research raised a number of concern</w:t>
            </w:r>
            <w:r w:rsidR="00FC0F24" w:rsidRPr="00335653">
              <w:rPr>
                <w:rStyle w:val="sfbbfee58"/>
                <w:rFonts w:ascii="Arial" w:hAnsi="Arial" w:cs="Arial"/>
              </w:rPr>
              <w:t>s</w:t>
            </w:r>
            <w:r w:rsidRPr="00335653">
              <w:rPr>
                <w:rStyle w:val="sfbbfee58"/>
                <w:rFonts w:ascii="Arial" w:hAnsi="Arial" w:cs="Arial"/>
              </w:rPr>
              <w:t xml:space="preserve"> </w:t>
            </w:r>
            <w:r w:rsidR="004F53DB" w:rsidRPr="00335653">
              <w:rPr>
                <w:rStyle w:val="sfbbfee58"/>
                <w:rFonts w:ascii="Arial" w:hAnsi="Arial" w:cs="Arial"/>
              </w:rPr>
              <w:t xml:space="preserve">in relation to police </w:t>
            </w:r>
            <w:r w:rsidR="004F53DB" w:rsidRPr="00335653">
              <w:rPr>
                <w:rStyle w:val="sfbbfee58"/>
                <w:rFonts w:ascii="Arial" w:hAnsi="Arial" w:cs="Arial"/>
              </w:rPr>
              <w:lastRenderedPageBreak/>
              <w:t xml:space="preserve">practice, </w:t>
            </w:r>
            <w:r w:rsidR="00D62350" w:rsidRPr="00335653">
              <w:rPr>
                <w:rStyle w:val="sfbbfee58"/>
                <w:rFonts w:ascii="Arial" w:hAnsi="Arial" w:cs="Arial"/>
              </w:rPr>
              <w:t xml:space="preserve">including in relation to the use of stop and search powers. </w:t>
            </w:r>
            <w:r w:rsidR="004F53DB" w:rsidRPr="00335653">
              <w:rPr>
                <w:rStyle w:val="sfbbfee58"/>
                <w:rFonts w:ascii="Arial" w:hAnsi="Arial" w:cs="Arial"/>
              </w:rPr>
              <w:t>The research provided an evidence base for the development of Scotland’s National Action Plan (SNAP). As part of SNAP Police Scotland has made a number of commitments</w:t>
            </w:r>
            <w:r w:rsidR="00D62350" w:rsidRPr="00335653">
              <w:rPr>
                <w:rStyle w:val="sfbbfee58"/>
                <w:rFonts w:ascii="Arial" w:hAnsi="Arial" w:cs="Arial"/>
              </w:rPr>
              <w:t xml:space="preserve"> for 2014 </w:t>
            </w:r>
            <w:r w:rsidR="004F53DB" w:rsidRPr="00335653">
              <w:rPr>
                <w:rStyle w:val="sfbbfee58"/>
                <w:rFonts w:ascii="Arial" w:hAnsi="Arial" w:cs="Arial"/>
              </w:rPr>
              <w:t xml:space="preserve">including </w:t>
            </w:r>
            <w:r w:rsidR="00D62350" w:rsidRPr="00335653">
              <w:rPr>
                <w:rStyle w:val="sfbbfee58"/>
                <w:rFonts w:ascii="Arial" w:hAnsi="Arial" w:cs="Arial"/>
              </w:rPr>
              <w:t>identifying opportunities to further embed human rights within the structures and culture of policing. The Commission considers that a statutory requirement for Codes o</w:t>
            </w:r>
            <w:r w:rsidR="0076537D" w:rsidRPr="00335653">
              <w:rPr>
                <w:rStyle w:val="sfbbfee58"/>
                <w:rFonts w:ascii="Arial" w:hAnsi="Arial" w:cs="Arial"/>
              </w:rPr>
              <w:t>f</w:t>
            </w:r>
            <w:r w:rsidR="00D62350" w:rsidRPr="00335653">
              <w:rPr>
                <w:rStyle w:val="sfbbfee58"/>
                <w:rFonts w:ascii="Arial" w:hAnsi="Arial" w:cs="Arial"/>
              </w:rPr>
              <w:t xml:space="preserve"> Practice would help support this commitment.</w:t>
            </w:r>
          </w:p>
          <w:p w:rsidR="00F24962" w:rsidRPr="00335653" w:rsidRDefault="00F24962" w:rsidP="00FC0F24">
            <w:pPr>
              <w:pStyle w:val="Default"/>
              <w:rPr>
                <w:rStyle w:val="sfbbfee58"/>
                <w:rFonts w:ascii="Arial" w:hAnsi="Arial" w:cs="Arial"/>
              </w:rPr>
            </w:pPr>
          </w:p>
          <w:p w:rsidR="00F24962" w:rsidRPr="00335653" w:rsidRDefault="00F24962" w:rsidP="00F45177">
            <w:pPr>
              <w:rPr>
                <w:rFonts w:cs="Arial"/>
                <w:szCs w:val="24"/>
              </w:rPr>
            </w:pPr>
            <w:r w:rsidRPr="00335653">
              <w:rPr>
                <w:rFonts w:cs="Arial"/>
                <w:szCs w:val="24"/>
              </w:rPr>
              <w:t>The Commission notes that there are a significant number of specialist reporting agencies in Scotland who investigate crime. It is essential that an individual's rights are equally protected during such investigations and therefore the Commission would recommend that such agencies also comply with a statutory code of practice similar if not the same as that proposed for the police.</w:t>
            </w:r>
          </w:p>
        </w:tc>
      </w:tr>
    </w:tbl>
    <w:p w:rsidR="000E2A92" w:rsidRPr="00335653" w:rsidRDefault="000E2A92" w:rsidP="009232EF">
      <w:pPr>
        <w:jc w:val="left"/>
        <w:rPr>
          <w:rFonts w:cs="Arial"/>
          <w:b/>
          <w:szCs w:val="24"/>
        </w:rPr>
      </w:pPr>
    </w:p>
    <w:p w:rsidR="000E2A92" w:rsidRPr="00335653" w:rsidRDefault="000E2A92" w:rsidP="009232EF">
      <w:pPr>
        <w:jc w:val="left"/>
        <w:rPr>
          <w:rFonts w:cs="Arial"/>
          <w:b/>
          <w:szCs w:val="24"/>
          <w:u w:val="single"/>
        </w:rPr>
      </w:pPr>
      <w:r w:rsidRPr="00335653">
        <w:rPr>
          <w:rFonts w:cs="Arial"/>
          <w:b/>
          <w:szCs w:val="24"/>
          <w:u w:val="single"/>
        </w:rPr>
        <w:t>Question 2</w:t>
      </w:r>
    </w:p>
    <w:p w:rsidR="000E2A92" w:rsidRPr="00335653" w:rsidRDefault="000E2A92" w:rsidP="009232EF">
      <w:pPr>
        <w:jc w:val="left"/>
        <w:rPr>
          <w:rFonts w:cs="Arial"/>
          <w:b/>
          <w:szCs w:val="24"/>
        </w:rPr>
      </w:pPr>
    </w:p>
    <w:p w:rsidR="000E2A92" w:rsidRPr="00335653" w:rsidRDefault="000E2A92" w:rsidP="009232EF">
      <w:pPr>
        <w:jc w:val="left"/>
        <w:rPr>
          <w:rFonts w:cs="Arial"/>
          <w:b/>
          <w:szCs w:val="24"/>
        </w:rPr>
      </w:pPr>
      <w:r w:rsidRPr="00335653">
        <w:rPr>
          <w:rFonts w:cs="Arial"/>
          <w:b/>
          <w:szCs w:val="24"/>
        </w:rPr>
        <w:t>Dock Identification (Report of the Academic Expert Group – Chapter 5)</w:t>
      </w:r>
    </w:p>
    <w:p w:rsidR="000E2A92" w:rsidRPr="00335653" w:rsidRDefault="000E2A92" w:rsidP="009232EF">
      <w:pPr>
        <w:jc w:val="left"/>
        <w:rPr>
          <w:rFonts w:cs="Arial"/>
          <w:b/>
          <w:szCs w:val="24"/>
        </w:rPr>
      </w:pPr>
    </w:p>
    <w:p w:rsidR="000E2A92" w:rsidRPr="00335653" w:rsidRDefault="000E2A92" w:rsidP="000E2A92">
      <w:pPr>
        <w:jc w:val="left"/>
        <w:rPr>
          <w:rFonts w:cs="Arial"/>
          <w:b/>
          <w:szCs w:val="24"/>
        </w:rPr>
      </w:pPr>
      <w:r w:rsidRPr="00335653">
        <w:rPr>
          <w:rFonts w:cs="Arial"/>
          <w:b/>
          <w:szCs w:val="24"/>
        </w:rPr>
        <w:t>Question 2A) - Do you agree that dock identification evidence should be generally inadmissible?</w:t>
      </w:r>
    </w:p>
    <w:p w:rsidR="000E2A92" w:rsidRPr="00335653" w:rsidRDefault="000E2A92" w:rsidP="000E2A92">
      <w:pPr>
        <w:jc w:val="left"/>
        <w:rPr>
          <w:rFonts w:cs="Arial"/>
          <w:b/>
          <w:i/>
          <w:szCs w:val="24"/>
        </w:rPr>
      </w:pPr>
    </w:p>
    <w:p w:rsidR="000E2A92" w:rsidRPr="00335653" w:rsidRDefault="000E2A92" w:rsidP="000E2A92">
      <w:pPr>
        <w:jc w:val="left"/>
        <w:rPr>
          <w:rFonts w:cs="Arial"/>
          <w:szCs w:val="24"/>
        </w:rPr>
      </w:pPr>
      <w:r w:rsidRPr="00335653">
        <w:rPr>
          <w:rFonts w:cs="Arial"/>
          <w:szCs w:val="24"/>
        </w:rPr>
        <w:t xml:space="preserve">Yes  </w:t>
      </w:r>
      <w:r w:rsidR="0076537D" w:rsidRPr="00335653">
        <w:rPr>
          <w:rFonts w:cs="Arial"/>
          <w:szCs w:val="24"/>
        </w:rPr>
        <w:fldChar w:fldCharType="begin">
          <w:ffData>
            <w:name w:val=""/>
            <w:enabled/>
            <w:calcOnExit w:val="0"/>
            <w:checkBox>
              <w:sizeAuto/>
              <w:default w:val="1"/>
            </w:checkBox>
          </w:ffData>
        </w:fldChar>
      </w:r>
      <w:r w:rsidR="0076537D" w:rsidRPr="00335653">
        <w:rPr>
          <w:rFonts w:cs="Arial"/>
          <w:szCs w:val="24"/>
        </w:rPr>
        <w:instrText xml:space="preserve"> FORMCHECKBOX </w:instrText>
      </w:r>
      <w:r w:rsidR="0076537D" w:rsidRPr="00335653">
        <w:rPr>
          <w:rFonts w:cs="Arial"/>
          <w:szCs w:val="24"/>
        </w:rPr>
      </w:r>
      <w:r w:rsidR="0076537D" w:rsidRPr="00335653">
        <w:rPr>
          <w:rFonts w:cs="Arial"/>
          <w:szCs w:val="24"/>
        </w:rPr>
        <w:fldChar w:fldCharType="end"/>
      </w:r>
      <w:r w:rsidRPr="00335653">
        <w:rPr>
          <w:rFonts w:cs="Arial"/>
          <w:szCs w:val="24"/>
        </w:rPr>
        <w:t xml:space="preserve">  No  </w:t>
      </w:r>
      <w:r w:rsidRPr="00335653">
        <w:rPr>
          <w:rFonts w:cs="Arial"/>
          <w:szCs w:val="24"/>
        </w:rPr>
        <w:fldChar w:fldCharType="begin">
          <w:ffData>
            <w:name w:val="Check2"/>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p>
    <w:p w:rsidR="000E2A92" w:rsidRPr="00335653" w:rsidRDefault="000E2A92" w:rsidP="000E2A92">
      <w:pPr>
        <w:jc w:val="left"/>
        <w:rPr>
          <w:rFonts w:cs="Arial"/>
          <w:b/>
          <w:i/>
          <w:szCs w:val="24"/>
        </w:rPr>
      </w:pPr>
    </w:p>
    <w:p w:rsidR="000E2A92" w:rsidRPr="00335653" w:rsidRDefault="000E2A92" w:rsidP="000E2A92">
      <w:pPr>
        <w:jc w:val="left"/>
        <w:rPr>
          <w:rFonts w:cs="Arial"/>
          <w:i/>
          <w:szCs w:val="24"/>
        </w:rPr>
      </w:pPr>
      <w:r w:rsidRPr="00335653">
        <w:rPr>
          <w:rFonts w:cs="Arial"/>
          <w:i/>
          <w:szCs w:val="24"/>
        </w:rPr>
        <w:t>Please feel free to provide any additional comments to support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E2A92" w:rsidRPr="00335653" w:rsidTr="000E2A92">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76537D" w:rsidRPr="00335653" w:rsidRDefault="00F928EE" w:rsidP="00F928EE">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rPr>
            </w:pPr>
            <w:r w:rsidRPr="00335653">
              <w:rPr>
                <w:rFonts w:cs="Arial"/>
                <w:szCs w:val="24"/>
              </w:rPr>
              <w:t xml:space="preserve">The right to a fair trial is a fundamental principle of the rule of law which lies at the heart of a democratic society.  </w:t>
            </w:r>
            <w:r w:rsidR="0076537D" w:rsidRPr="00335653">
              <w:rPr>
                <w:rFonts w:cs="Arial"/>
                <w:szCs w:val="24"/>
              </w:rPr>
              <w:t>Article 6 of the European Convention on Human Rights (ECHR)</w:t>
            </w:r>
            <w:r w:rsidRPr="00335653">
              <w:rPr>
                <w:rFonts w:cs="Arial"/>
                <w:szCs w:val="24"/>
              </w:rPr>
              <w:t xml:space="preserve"> </w:t>
            </w:r>
            <w:r w:rsidR="00657E75" w:rsidRPr="00335653">
              <w:rPr>
                <w:rFonts w:cs="Arial"/>
                <w:szCs w:val="24"/>
              </w:rPr>
              <w:t>guarantees</w:t>
            </w:r>
            <w:r w:rsidRPr="00335653">
              <w:rPr>
                <w:rFonts w:cs="Arial"/>
                <w:szCs w:val="24"/>
              </w:rPr>
              <w:t xml:space="preserve"> the right to a fair trial to </w:t>
            </w:r>
            <w:r w:rsidR="0076537D" w:rsidRPr="00335653">
              <w:rPr>
                <w:rFonts w:cs="Arial"/>
                <w:szCs w:val="24"/>
              </w:rPr>
              <w:t>everyone charged with a criminal offence. It is the duty of the courts to ensure that a fair</w:t>
            </w:r>
            <w:r w:rsidRPr="00335653">
              <w:rPr>
                <w:rFonts w:cs="Arial"/>
                <w:szCs w:val="24"/>
              </w:rPr>
              <w:t xml:space="preserve"> </w:t>
            </w:r>
            <w:r w:rsidR="0076537D" w:rsidRPr="00335653">
              <w:rPr>
                <w:rFonts w:cs="Arial"/>
                <w:szCs w:val="24"/>
              </w:rPr>
              <w:t>trial is achieved in any given case. Courts must therefore be in a position, as a</w:t>
            </w:r>
            <w:r w:rsidRPr="00335653">
              <w:rPr>
                <w:rFonts w:cs="Arial"/>
                <w:szCs w:val="24"/>
              </w:rPr>
              <w:t xml:space="preserve"> </w:t>
            </w:r>
            <w:r w:rsidR="0076537D" w:rsidRPr="00335653">
              <w:rPr>
                <w:rFonts w:cs="Arial"/>
                <w:szCs w:val="24"/>
              </w:rPr>
              <w:t>matter of domestic law, to ensure the trial is fair and meets the requirements</w:t>
            </w:r>
            <w:r w:rsidRPr="00335653">
              <w:rPr>
                <w:rFonts w:cs="Arial"/>
                <w:szCs w:val="24"/>
              </w:rPr>
              <w:t xml:space="preserve"> </w:t>
            </w:r>
            <w:r w:rsidR="0076537D" w:rsidRPr="00335653">
              <w:rPr>
                <w:rFonts w:cs="Arial"/>
                <w:szCs w:val="24"/>
              </w:rPr>
              <w:t>of Article 6.</w:t>
            </w:r>
            <w:r w:rsidRPr="00335653">
              <w:rPr>
                <w:rFonts w:cs="Arial"/>
                <w:szCs w:val="24"/>
              </w:rPr>
              <w:t xml:space="preserve"> </w:t>
            </w:r>
            <w:r w:rsidR="0076537D" w:rsidRPr="00335653">
              <w:rPr>
                <w:rFonts w:cs="Arial"/>
                <w:szCs w:val="24"/>
              </w:rPr>
              <w:t>A conviction based on evidence of insufficient quality should not</w:t>
            </w:r>
            <w:r w:rsidRPr="00335653">
              <w:rPr>
                <w:rFonts w:cs="Arial"/>
                <w:szCs w:val="24"/>
              </w:rPr>
              <w:t xml:space="preserve"> </w:t>
            </w:r>
            <w:r w:rsidR="0076537D" w:rsidRPr="00335653">
              <w:rPr>
                <w:rFonts w:cs="Arial"/>
                <w:szCs w:val="24"/>
              </w:rPr>
              <w:t>be the outcome of a fair trial and may violate Article 6 of the ECHR. It is the</w:t>
            </w:r>
            <w:r w:rsidRPr="00335653">
              <w:rPr>
                <w:rFonts w:cs="Arial"/>
                <w:szCs w:val="24"/>
              </w:rPr>
              <w:t xml:space="preserve"> </w:t>
            </w:r>
            <w:r w:rsidR="0076537D" w:rsidRPr="00335653">
              <w:rPr>
                <w:rFonts w:cs="Arial"/>
                <w:szCs w:val="24"/>
              </w:rPr>
              <w:t>responsibility of the State to put in place rules of procedure and evidence that</w:t>
            </w:r>
            <w:r w:rsidRPr="00335653">
              <w:rPr>
                <w:rFonts w:cs="Arial"/>
                <w:szCs w:val="24"/>
              </w:rPr>
              <w:t xml:space="preserve"> </w:t>
            </w:r>
            <w:r w:rsidR="0076537D" w:rsidRPr="00335653">
              <w:rPr>
                <w:rFonts w:cs="Arial"/>
                <w:szCs w:val="24"/>
              </w:rPr>
              <w:t>provide an effective means whereby the courts can perform their duty.</w:t>
            </w:r>
          </w:p>
          <w:p w:rsidR="006919C5" w:rsidRPr="00335653" w:rsidRDefault="00657E75" w:rsidP="00657E7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rPr>
            </w:pPr>
            <w:r w:rsidRPr="00335653">
              <w:rPr>
                <w:rFonts w:cs="Arial"/>
                <w:szCs w:val="24"/>
              </w:rPr>
              <w:t xml:space="preserve">   </w:t>
            </w:r>
          </w:p>
          <w:p w:rsidR="000D697F" w:rsidRPr="00335653" w:rsidRDefault="00F928EE" w:rsidP="00DD4F9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rPr>
            </w:pPr>
            <w:r w:rsidRPr="00335653">
              <w:rPr>
                <w:rFonts w:cs="Arial"/>
                <w:szCs w:val="24"/>
              </w:rPr>
              <w:t xml:space="preserve">While </w:t>
            </w:r>
            <w:r w:rsidR="00905BDB" w:rsidRPr="00335653">
              <w:rPr>
                <w:rFonts w:cs="Arial"/>
                <w:szCs w:val="24"/>
              </w:rPr>
              <w:t xml:space="preserve">reliance </w:t>
            </w:r>
            <w:r w:rsidR="00657E75" w:rsidRPr="00335653">
              <w:rPr>
                <w:rFonts w:cs="Arial"/>
                <w:szCs w:val="24"/>
              </w:rPr>
              <w:t>o</w:t>
            </w:r>
            <w:r w:rsidR="00905BDB" w:rsidRPr="00335653">
              <w:rPr>
                <w:rFonts w:cs="Arial"/>
                <w:szCs w:val="24"/>
              </w:rPr>
              <w:t>n</w:t>
            </w:r>
            <w:r w:rsidR="00657E75" w:rsidRPr="00335653">
              <w:rPr>
                <w:rFonts w:cs="Arial"/>
                <w:szCs w:val="24"/>
              </w:rPr>
              <w:t xml:space="preserve"> dock identification </w:t>
            </w:r>
            <w:r w:rsidR="006919C5" w:rsidRPr="00335653">
              <w:rPr>
                <w:rFonts w:cs="Arial"/>
                <w:szCs w:val="24"/>
              </w:rPr>
              <w:t>may</w:t>
            </w:r>
            <w:r w:rsidR="00657E75" w:rsidRPr="00335653">
              <w:rPr>
                <w:rFonts w:cs="Arial"/>
                <w:szCs w:val="24"/>
              </w:rPr>
              <w:t xml:space="preserve"> not in itself breach Article 6,</w:t>
            </w:r>
            <w:r w:rsidR="00905BDB" w:rsidRPr="00335653">
              <w:rPr>
                <w:rFonts w:cs="Arial"/>
                <w:szCs w:val="24"/>
              </w:rPr>
              <w:t xml:space="preserve"> it</w:t>
            </w:r>
            <w:r w:rsidR="006919C5" w:rsidRPr="00335653">
              <w:rPr>
                <w:rFonts w:cs="Arial"/>
                <w:szCs w:val="24"/>
              </w:rPr>
              <w:t xml:space="preserve"> does raise </w:t>
            </w:r>
            <w:r w:rsidR="000D697F" w:rsidRPr="00335653">
              <w:rPr>
                <w:rFonts w:cs="Arial"/>
                <w:szCs w:val="24"/>
              </w:rPr>
              <w:t xml:space="preserve">serious </w:t>
            </w:r>
            <w:r w:rsidR="006919C5" w:rsidRPr="00335653">
              <w:rPr>
                <w:rFonts w:cs="Arial"/>
                <w:szCs w:val="24"/>
              </w:rPr>
              <w:t xml:space="preserve">concerns about reliability. It </w:t>
            </w:r>
            <w:r w:rsidR="00905BDB" w:rsidRPr="00335653">
              <w:rPr>
                <w:rFonts w:cs="Arial"/>
                <w:szCs w:val="24"/>
              </w:rPr>
              <w:t>lacks the</w:t>
            </w:r>
            <w:r w:rsidR="00657E75" w:rsidRPr="00335653">
              <w:rPr>
                <w:rFonts w:cs="Arial"/>
                <w:szCs w:val="24"/>
              </w:rPr>
              <w:t xml:space="preserve"> safeguards that are offered by an</w:t>
            </w:r>
            <w:r w:rsidR="00905BDB" w:rsidRPr="00335653">
              <w:rPr>
                <w:rFonts w:cs="Arial"/>
                <w:szCs w:val="24"/>
              </w:rPr>
              <w:t xml:space="preserve"> </w:t>
            </w:r>
            <w:r w:rsidR="00657E75" w:rsidRPr="00335653">
              <w:rPr>
                <w:rFonts w:cs="Arial"/>
                <w:szCs w:val="24"/>
              </w:rPr>
              <w:t>identification parade,</w:t>
            </w:r>
            <w:r w:rsidR="00905BDB" w:rsidRPr="00335653">
              <w:rPr>
                <w:rFonts w:cs="Arial"/>
                <w:szCs w:val="24"/>
              </w:rPr>
              <w:t xml:space="preserve"> and </w:t>
            </w:r>
            <w:r w:rsidR="00657E75" w:rsidRPr="00335653">
              <w:rPr>
                <w:rFonts w:cs="Arial"/>
                <w:szCs w:val="24"/>
              </w:rPr>
              <w:t>increases the risk of a wrong</w:t>
            </w:r>
            <w:r w:rsidR="00905BDB" w:rsidRPr="00335653">
              <w:rPr>
                <w:rFonts w:cs="Arial"/>
                <w:szCs w:val="24"/>
              </w:rPr>
              <w:t xml:space="preserve"> </w:t>
            </w:r>
            <w:r w:rsidR="00657E75" w:rsidRPr="00335653">
              <w:rPr>
                <w:rFonts w:cs="Arial"/>
                <w:szCs w:val="24"/>
              </w:rPr>
              <w:t>identification.</w:t>
            </w:r>
            <w:r w:rsidR="00905BDB" w:rsidRPr="00335653">
              <w:rPr>
                <w:rFonts w:cs="Arial"/>
                <w:szCs w:val="24"/>
              </w:rPr>
              <w:t xml:space="preserve"> </w:t>
            </w:r>
            <w:r w:rsidR="006919C5" w:rsidRPr="00335653">
              <w:rPr>
                <w:rFonts w:cs="Arial"/>
                <w:szCs w:val="24"/>
              </w:rPr>
              <w:t xml:space="preserve">Without a number of other safeguards in place the reliance on dock identification risks </w:t>
            </w:r>
            <w:r w:rsidR="0066074F" w:rsidRPr="00335653">
              <w:rPr>
                <w:rFonts w:cs="Arial"/>
                <w:szCs w:val="24"/>
              </w:rPr>
              <w:t>an</w:t>
            </w:r>
            <w:r w:rsidR="006919C5" w:rsidRPr="00335653">
              <w:rPr>
                <w:rFonts w:cs="Arial"/>
                <w:szCs w:val="24"/>
              </w:rPr>
              <w:t xml:space="preserve"> unfair trial. The Commission notes that previously the requirement for corroboration has been considered an important protection (in combination with other safeguards) against a violation of Article 6 where dock </w:t>
            </w:r>
            <w:r w:rsidR="0066074F" w:rsidRPr="00335653">
              <w:rPr>
                <w:rFonts w:cs="Arial"/>
                <w:szCs w:val="24"/>
              </w:rPr>
              <w:t>identification</w:t>
            </w:r>
            <w:r w:rsidR="006919C5" w:rsidRPr="00335653">
              <w:rPr>
                <w:rFonts w:cs="Arial"/>
                <w:szCs w:val="24"/>
              </w:rPr>
              <w:t xml:space="preserve"> has been used. </w:t>
            </w:r>
            <w:r w:rsidR="0066074F" w:rsidRPr="00335653">
              <w:rPr>
                <w:rFonts w:cs="Arial"/>
                <w:szCs w:val="24"/>
              </w:rPr>
              <w:t xml:space="preserve"> T</w:t>
            </w:r>
            <w:r w:rsidR="006919C5" w:rsidRPr="00335653">
              <w:rPr>
                <w:rFonts w:cs="Arial"/>
                <w:szCs w:val="24"/>
              </w:rPr>
              <w:t xml:space="preserve">he Commission agrees that </w:t>
            </w:r>
            <w:r w:rsidR="0066074F" w:rsidRPr="00335653">
              <w:rPr>
                <w:rFonts w:cs="Arial"/>
                <w:szCs w:val="24"/>
              </w:rPr>
              <w:t xml:space="preserve">the best way to guard against unfair trial would be a presumption of </w:t>
            </w:r>
            <w:r w:rsidR="006919C5" w:rsidRPr="00335653">
              <w:rPr>
                <w:rFonts w:cs="Arial"/>
                <w:szCs w:val="24"/>
              </w:rPr>
              <w:t>inadmissib</w:t>
            </w:r>
            <w:r w:rsidR="0066074F" w:rsidRPr="00335653">
              <w:rPr>
                <w:rFonts w:cs="Arial"/>
                <w:szCs w:val="24"/>
              </w:rPr>
              <w:t>ility</w:t>
            </w:r>
            <w:r w:rsidR="006919C5" w:rsidRPr="00335653">
              <w:rPr>
                <w:rFonts w:cs="Arial"/>
                <w:szCs w:val="24"/>
              </w:rPr>
              <w:t>.</w:t>
            </w:r>
            <w:r w:rsidR="000D697F" w:rsidRPr="00335653">
              <w:rPr>
                <w:rFonts w:cs="Arial"/>
                <w:szCs w:val="24"/>
              </w:rPr>
              <w:t xml:space="preserve"> By contrast, a properly conducted pre-trial identification procedure (in particular VIPER), with its attendant safeguards, provides a proper opportunity for a reliable and accurate identification to be made.</w:t>
            </w:r>
          </w:p>
        </w:tc>
      </w:tr>
    </w:tbl>
    <w:p w:rsidR="000E2A92" w:rsidRPr="00335653" w:rsidRDefault="000E2A92" w:rsidP="000E2A92">
      <w:pPr>
        <w:jc w:val="left"/>
        <w:rPr>
          <w:rFonts w:cs="Arial"/>
          <w:b/>
          <w:szCs w:val="24"/>
        </w:rPr>
      </w:pPr>
      <w:r w:rsidRPr="00335653">
        <w:rPr>
          <w:rFonts w:cs="Arial"/>
          <w:b/>
          <w:szCs w:val="24"/>
        </w:rPr>
        <w:lastRenderedPageBreak/>
        <w:t xml:space="preserve">Question </w:t>
      </w:r>
      <w:proofErr w:type="spellStart"/>
      <w:r w:rsidRPr="00335653">
        <w:rPr>
          <w:rFonts w:cs="Arial"/>
          <w:b/>
          <w:szCs w:val="24"/>
        </w:rPr>
        <w:t>2B</w:t>
      </w:r>
      <w:proofErr w:type="spellEnd"/>
      <w:r w:rsidRPr="00335653">
        <w:rPr>
          <w:rFonts w:cs="Arial"/>
          <w:b/>
          <w:szCs w:val="24"/>
        </w:rPr>
        <w:t>) - In what circumstances should dock identification evidence be admissible?</w:t>
      </w:r>
    </w:p>
    <w:p w:rsidR="000E2A92" w:rsidRPr="00335653" w:rsidRDefault="000E2A92" w:rsidP="000E2A92">
      <w:pPr>
        <w:jc w:val="left"/>
        <w:rPr>
          <w:rFonts w:cs="Arial"/>
          <w:b/>
          <w:i/>
          <w:szCs w:val="24"/>
        </w:rPr>
      </w:pPr>
    </w:p>
    <w:p w:rsidR="000E2A92" w:rsidRPr="00335653" w:rsidRDefault="000E2A92" w:rsidP="000E2A92">
      <w:pPr>
        <w:jc w:val="left"/>
        <w:rPr>
          <w:rFonts w:cs="Arial"/>
          <w:i/>
          <w:szCs w:val="24"/>
        </w:rPr>
      </w:pPr>
      <w:r w:rsidRPr="00335653">
        <w:rPr>
          <w:rFonts w:cs="Arial"/>
          <w:i/>
          <w:szCs w:val="24"/>
        </w:rPr>
        <w:t xml:space="preserve">Please provide comments </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E2A92" w:rsidRPr="00335653" w:rsidTr="000E2A92">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DF0D90" w:rsidRPr="00335653" w:rsidRDefault="004C1C1D" w:rsidP="000E2A92">
            <w:pPr>
              <w:jc w:val="left"/>
              <w:rPr>
                <w:rFonts w:cs="Arial"/>
                <w:szCs w:val="24"/>
              </w:rPr>
            </w:pPr>
            <w:r w:rsidRPr="00335653">
              <w:rPr>
                <w:rFonts w:cs="Arial"/>
                <w:szCs w:val="24"/>
              </w:rPr>
              <w:t xml:space="preserve">The Commission agrees that there may be situations where the dock identification evidence </w:t>
            </w:r>
            <w:r w:rsidR="00D501B4" w:rsidRPr="00335653">
              <w:rPr>
                <w:rFonts w:cs="Arial"/>
                <w:szCs w:val="24"/>
              </w:rPr>
              <w:t xml:space="preserve">could </w:t>
            </w:r>
            <w:r w:rsidRPr="00335653">
              <w:rPr>
                <w:rFonts w:cs="Arial"/>
                <w:szCs w:val="24"/>
              </w:rPr>
              <w:t>be admitted</w:t>
            </w:r>
            <w:r w:rsidR="00DF0D90" w:rsidRPr="00335653">
              <w:rPr>
                <w:rFonts w:cs="Arial"/>
                <w:szCs w:val="24"/>
              </w:rPr>
              <w:t xml:space="preserve">, such as where the accused chooses not to co-operate with a pre-trial identification procedure. </w:t>
            </w:r>
            <w:r w:rsidR="000D697F" w:rsidRPr="00335653">
              <w:rPr>
                <w:rFonts w:cs="Arial"/>
                <w:szCs w:val="24"/>
              </w:rPr>
              <w:t>The Commission notes, however, that there are a number of mechanisms which can be employed in order to secure the accused's compliance, such as making an order to co-operate a condition of bail or seeking a warrant from the Sheriff to bring the accused before a parade. These means should be employed wherever practicable</w:t>
            </w:r>
            <w:r w:rsidR="00040449">
              <w:rPr>
                <w:rFonts w:cs="Arial"/>
                <w:szCs w:val="24"/>
              </w:rPr>
              <w:t>,</w:t>
            </w:r>
            <w:r w:rsidR="000D697F" w:rsidRPr="00335653">
              <w:rPr>
                <w:rFonts w:cs="Arial"/>
                <w:szCs w:val="24"/>
              </w:rPr>
              <w:t xml:space="preserve"> making exceptions to the general presumption of inadmissibility very rare. Where dock identification is sought by the Crown, the Court should have the means to refuse to allow it if it considers, in the particular context of the trial, that its use would render the proceedings unfair. This could be achieved by means of a general exclusionary rule such as that contained in section 78 of PACE. It would be expected that such a power would rarely be exercised but it would provide an additional protection of the accused's Article 6 rights.</w:t>
            </w:r>
          </w:p>
          <w:p w:rsidR="000D697F" w:rsidRPr="00335653" w:rsidRDefault="000D697F" w:rsidP="000E2A92">
            <w:pPr>
              <w:jc w:val="left"/>
              <w:rPr>
                <w:rFonts w:cs="Arial"/>
                <w:szCs w:val="24"/>
              </w:rPr>
            </w:pPr>
          </w:p>
          <w:p w:rsidR="000D697F" w:rsidRPr="00335653" w:rsidRDefault="004C1C1D" w:rsidP="005F7BFA">
            <w:pPr>
              <w:jc w:val="left"/>
              <w:rPr>
                <w:rFonts w:cs="Arial"/>
                <w:szCs w:val="24"/>
              </w:rPr>
            </w:pPr>
            <w:r w:rsidRPr="00335653">
              <w:rPr>
                <w:rFonts w:cs="Arial"/>
                <w:szCs w:val="24"/>
              </w:rPr>
              <w:t xml:space="preserve">In relation to the proposal that the prosecutor could be required to issue a notice such as a </w:t>
            </w:r>
            <w:r w:rsidR="0066074F" w:rsidRPr="00335653">
              <w:rPr>
                <w:rFonts w:cs="Arial"/>
                <w:szCs w:val="24"/>
              </w:rPr>
              <w:t>S</w:t>
            </w:r>
            <w:r w:rsidRPr="00335653">
              <w:rPr>
                <w:rFonts w:cs="Arial"/>
                <w:szCs w:val="24"/>
              </w:rPr>
              <w:t>tatement of</w:t>
            </w:r>
            <w:r w:rsidR="0066074F" w:rsidRPr="00335653">
              <w:rPr>
                <w:rFonts w:cs="Arial"/>
                <w:szCs w:val="24"/>
              </w:rPr>
              <w:t xml:space="preserve"> U</w:t>
            </w:r>
            <w:r w:rsidRPr="00335653">
              <w:rPr>
                <w:rFonts w:cs="Arial"/>
                <w:szCs w:val="24"/>
              </w:rPr>
              <w:t xml:space="preserve">ncontroversial </w:t>
            </w:r>
            <w:r w:rsidR="0066074F" w:rsidRPr="00335653">
              <w:rPr>
                <w:rFonts w:cs="Arial"/>
                <w:szCs w:val="24"/>
              </w:rPr>
              <w:t>E</w:t>
            </w:r>
            <w:r w:rsidRPr="00335653">
              <w:rPr>
                <w:rFonts w:cs="Arial"/>
                <w:szCs w:val="24"/>
              </w:rPr>
              <w:t>vidence, with the defence then highlighting where identification is at issue, the Commission suggests</w:t>
            </w:r>
            <w:r w:rsidR="00DF0D90" w:rsidRPr="00335653">
              <w:rPr>
                <w:rFonts w:cs="Arial"/>
                <w:szCs w:val="24"/>
              </w:rPr>
              <w:t xml:space="preserve"> further </w:t>
            </w:r>
            <w:r w:rsidR="0066074F" w:rsidRPr="00335653">
              <w:rPr>
                <w:rFonts w:cs="Arial"/>
                <w:szCs w:val="24"/>
              </w:rPr>
              <w:t xml:space="preserve">consideration be given to situations where </w:t>
            </w:r>
            <w:r w:rsidR="00927650" w:rsidRPr="00335653">
              <w:rPr>
                <w:rFonts w:cs="Arial"/>
                <w:szCs w:val="24"/>
              </w:rPr>
              <w:t xml:space="preserve">the defence misses the opportunity to raise identification as an issue. </w:t>
            </w:r>
            <w:r w:rsidR="0066074F" w:rsidRPr="00335653">
              <w:rPr>
                <w:rFonts w:cs="Arial"/>
                <w:szCs w:val="24"/>
              </w:rPr>
              <w:t xml:space="preserve">There may be cases where the </w:t>
            </w:r>
            <w:r w:rsidR="00927650" w:rsidRPr="00335653">
              <w:rPr>
                <w:rFonts w:cs="Arial"/>
                <w:szCs w:val="24"/>
              </w:rPr>
              <w:t xml:space="preserve">accused is representing themselves, where appropriate legal advice is not given, or where there is a failure of disclosure. </w:t>
            </w:r>
            <w:r w:rsidR="000D697F" w:rsidRPr="00335653">
              <w:rPr>
                <w:rFonts w:cs="Arial"/>
                <w:szCs w:val="24"/>
              </w:rPr>
              <w:t>Any procedure to establish at an early stage whether identification is an issue will need to allow for the possibility of a change in position with regard to identification. In summary cases, intermediate diets are compulsory and this provides a further opportunity to confirm whether identification is agreed. If it is by that stage to be challenged, the Crown should carry out a proper pre-trial procedure.</w:t>
            </w:r>
          </w:p>
        </w:tc>
      </w:tr>
    </w:tbl>
    <w:p w:rsidR="00335653" w:rsidRDefault="00335653" w:rsidP="009232EF">
      <w:pPr>
        <w:jc w:val="left"/>
        <w:rPr>
          <w:rFonts w:cs="Arial"/>
          <w:b/>
          <w:szCs w:val="24"/>
          <w:u w:val="single"/>
        </w:rPr>
      </w:pPr>
    </w:p>
    <w:p w:rsidR="00040449" w:rsidRDefault="00040449" w:rsidP="009232EF">
      <w:pPr>
        <w:jc w:val="left"/>
        <w:rPr>
          <w:rFonts w:cs="Arial"/>
          <w:b/>
          <w:szCs w:val="24"/>
          <w:u w:val="single"/>
        </w:rPr>
      </w:pPr>
    </w:p>
    <w:p w:rsidR="000E2A92" w:rsidRPr="00335653" w:rsidRDefault="000E2A92" w:rsidP="009232EF">
      <w:pPr>
        <w:jc w:val="left"/>
        <w:rPr>
          <w:rFonts w:cs="Arial"/>
          <w:b/>
          <w:szCs w:val="24"/>
          <w:u w:val="single"/>
        </w:rPr>
      </w:pPr>
      <w:r w:rsidRPr="00335653">
        <w:rPr>
          <w:rFonts w:cs="Arial"/>
          <w:b/>
          <w:szCs w:val="24"/>
          <w:u w:val="single"/>
        </w:rPr>
        <w:t>Question 3</w:t>
      </w:r>
    </w:p>
    <w:p w:rsidR="000E2A92" w:rsidRPr="00335653" w:rsidRDefault="000E2A92" w:rsidP="009232EF">
      <w:pPr>
        <w:jc w:val="left"/>
        <w:rPr>
          <w:rFonts w:cs="Arial"/>
          <w:b/>
          <w:szCs w:val="24"/>
        </w:rPr>
      </w:pPr>
    </w:p>
    <w:p w:rsidR="000E2A92" w:rsidRPr="00335653" w:rsidRDefault="000E2A92" w:rsidP="000E2A92">
      <w:pPr>
        <w:rPr>
          <w:rFonts w:cs="Arial"/>
          <w:b/>
          <w:szCs w:val="24"/>
        </w:rPr>
      </w:pPr>
      <w:r w:rsidRPr="00335653">
        <w:rPr>
          <w:rFonts w:cs="Arial"/>
          <w:b/>
          <w:szCs w:val="24"/>
        </w:rPr>
        <w:t>Confession Evidence (Report of the Academic Expert Group – Chapter 6)</w:t>
      </w:r>
    </w:p>
    <w:p w:rsidR="000E2A92" w:rsidRPr="00335653" w:rsidRDefault="000E2A92" w:rsidP="009232EF">
      <w:pPr>
        <w:jc w:val="left"/>
        <w:rPr>
          <w:rFonts w:cs="Arial"/>
          <w:b/>
          <w:szCs w:val="24"/>
        </w:rPr>
      </w:pPr>
    </w:p>
    <w:p w:rsidR="000E2A92" w:rsidRPr="00335653" w:rsidRDefault="000E2A92" w:rsidP="000E2A92">
      <w:pPr>
        <w:rPr>
          <w:rFonts w:cs="Arial"/>
          <w:b/>
          <w:szCs w:val="24"/>
        </w:rPr>
      </w:pPr>
      <w:r w:rsidRPr="00335653">
        <w:rPr>
          <w:rFonts w:cs="Arial"/>
          <w:b/>
          <w:szCs w:val="24"/>
        </w:rPr>
        <w:t>Question 3A) - Should corroboration be required in cases where otherwise a confession would be the sole evidence?</w:t>
      </w:r>
    </w:p>
    <w:p w:rsidR="000E2A92" w:rsidRPr="00335653" w:rsidRDefault="000E2A92" w:rsidP="000E2A92">
      <w:pPr>
        <w:rPr>
          <w:rFonts w:cs="Arial"/>
          <w:i/>
          <w:szCs w:val="24"/>
        </w:rPr>
      </w:pPr>
    </w:p>
    <w:p w:rsidR="000E2A92" w:rsidRPr="00335653" w:rsidRDefault="000E2A92" w:rsidP="000E2A92">
      <w:pPr>
        <w:jc w:val="left"/>
        <w:rPr>
          <w:rFonts w:cs="Arial"/>
          <w:szCs w:val="24"/>
        </w:rPr>
      </w:pPr>
      <w:r w:rsidRPr="00335653">
        <w:rPr>
          <w:rFonts w:cs="Arial"/>
          <w:szCs w:val="24"/>
        </w:rPr>
        <w:t xml:space="preserve">Yes  </w:t>
      </w:r>
      <w:r w:rsidR="00927650" w:rsidRPr="00335653">
        <w:rPr>
          <w:rFonts w:cs="Arial"/>
          <w:szCs w:val="24"/>
        </w:rPr>
        <w:fldChar w:fldCharType="begin">
          <w:ffData>
            <w:name w:val=""/>
            <w:enabled/>
            <w:calcOnExit w:val="0"/>
            <w:checkBox>
              <w:sizeAuto/>
              <w:default w:val="1"/>
            </w:checkBox>
          </w:ffData>
        </w:fldChar>
      </w:r>
      <w:r w:rsidR="00927650" w:rsidRPr="00335653">
        <w:rPr>
          <w:rFonts w:cs="Arial"/>
          <w:szCs w:val="24"/>
        </w:rPr>
        <w:instrText xml:space="preserve"> FORMCHECKBOX </w:instrText>
      </w:r>
      <w:r w:rsidR="00927650" w:rsidRPr="00335653">
        <w:rPr>
          <w:rFonts w:cs="Arial"/>
          <w:szCs w:val="24"/>
        </w:rPr>
      </w:r>
      <w:r w:rsidR="00927650" w:rsidRPr="00335653">
        <w:rPr>
          <w:rFonts w:cs="Arial"/>
          <w:szCs w:val="24"/>
        </w:rPr>
        <w:fldChar w:fldCharType="end"/>
      </w:r>
      <w:r w:rsidRPr="00335653">
        <w:rPr>
          <w:rFonts w:cs="Arial"/>
          <w:szCs w:val="24"/>
        </w:rPr>
        <w:t xml:space="preserve">  No  </w:t>
      </w:r>
      <w:r w:rsidRPr="00335653">
        <w:rPr>
          <w:rFonts w:cs="Arial"/>
          <w:szCs w:val="24"/>
        </w:rPr>
        <w:fldChar w:fldCharType="begin">
          <w:ffData>
            <w:name w:val="Check2"/>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p>
    <w:p w:rsidR="000E2A92" w:rsidRPr="00335653" w:rsidRDefault="000E2A92" w:rsidP="000E2A92">
      <w:pPr>
        <w:rPr>
          <w:rFonts w:cs="Arial"/>
          <w:i/>
          <w:szCs w:val="24"/>
        </w:rPr>
      </w:pPr>
    </w:p>
    <w:p w:rsidR="000E2A92" w:rsidRPr="00335653" w:rsidRDefault="000E2A92" w:rsidP="000E2A92">
      <w:pPr>
        <w:rPr>
          <w:rFonts w:cs="Arial"/>
          <w:i/>
          <w:szCs w:val="24"/>
        </w:rPr>
      </w:pPr>
      <w:r w:rsidRPr="00335653">
        <w:rPr>
          <w:rFonts w:cs="Arial"/>
          <w:i/>
          <w:szCs w:val="24"/>
        </w:rPr>
        <w:t>Please feel free to provide any additional comments to support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E2A92" w:rsidRPr="00335653" w:rsidTr="000E2A92">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A7151F" w:rsidRPr="00335653" w:rsidRDefault="00A7151F" w:rsidP="00927650">
            <w:pPr>
              <w:jc w:val="left"/>
              <w:rPr>
                <w:rFonts w:cs="Arial"/>
                <w:szCs w:val="24"/>
              </w:rPr>
            </w:pPr>
            <w:r w:rsidRPr="00335653">
              <w:rPr>
                <w:rFonts w:cs="Arial"/>
                <w:szCs w:val="24"/>
              </w:rPr>
              <w:t>The Commission shares the Reference Group’s concerns that there are a variety of reasons why</w:t>
            </w:r>
            <w:r w:rsidR="009B1A37" w:rsidRPr="00335653">
              <w:rPr>
                <w:rFonts w:cs="Arial"/>
                <w:szCs w:val="24"/>
              </w:rPr>
              <w:t xml:space="preserve"> </w:t>
            </w:r>
            <w:r w:rsidRPr="00335653">
              <w:rPr>
                <w:rFonts w:cs="Arial"/>
                <w:szCs w:val="24"/>
              </w:rPr>
              <w:t>a pe</w:t>
            </w:r>
            <w:r w:rsidR="009B1A37" w:rsidRPr="00335653">
              <w:rPr>
                <w:rFonts w:cs="Arial"/>
                <w:szCs w:val="24"/>
              </w:rPr>
              <w:t xml:space="preserve">rson may </w:t>
            </w:r>
            <w:r w:rsidRPr="00335653">
              <w:rPr>
                <w:rFonts w:cs="Arial"/>
                <w:szCs w:val="24"/>
              </w:rPr>
              <w:t xml:space="preserve">make statements against their own self-interest where they have not in fact committed the crime.  </w:t>
            </w:r>
          </w:p>
          <w:p w:rsidR="00A7151F" w:rsidRPr="00335653" w:rsidRDefault="00A7151F" w:rsidP="00927650">
            <w:pPr>
              <w:jc w:val="left"/>
              <w:rPr>
                <w:rFonts w:cs="Arial"/>
                <w:szCs w:val="24"/>
              </w:rPr>
            </w:pPr>
          </w:p>
          <w:p w:rsidR="00AE46A7" w:rsidRPr="00335653" w:rsidRDefault="00AE46A7" w:rsidP="00927650">
            <w:pPr>
              <w:jc w:val="left"/>
              <w:rPr>
                <w:rFonts w:cs="Arial"/>
                <w:szCs w:val="24"/>
              </w:rPr>
            </w:pPr>
            <w:r w:rsidRPr="00335653">
              <w:rPr>
                <w:rFonts w:cs="Arial"/>
                <w:szCs w:val="24"/>
              </w:rPr>
              <w:t xml:space="preserve">The Commission’s view throughout the process of reform of Scots Criminal </w:t>
            </w:r>
            <w:r w:rsidRPr="00335653">
              <w:rPr>
                <w:rFonts w:cs="Arial"/>
                <w:szCs w:val="24"/>
              </w:rPr>
              <w:lastRenderedPageBreak/>
              <w:t xml:space="preserve">Law and Practice </w:t>
            </w:r>
            <w:r w:rsidR="00A7151F" w:rsidRPr="00335653">
              <w:rPr>
                <w:rFonts w:cs="Arial"/>
                <w:szCs w:val="24"/>
              </w:rPr>
              <w:t xml:space="preserve">has been </w:t>
            </w:r>
            <w:r w:rsidRPr="00335653">
              <w:rPr>
                <w:rFonts w:cs="Arial"/>
                <w:szCs w:val="24"/>
              </w:rPr>
              <w:t>that corroboration acts to safeguard the quality of evidence. It is a means by which the reliability and credibility of evidence can be tested by the fact finder. Corroboration plays an important role in Scots law in preventing an accused from being convicted on evidence of insufficient quality. Thus it assists in preventing violations of fundamental rights.</w:t>
            </w:r>
          </w:p>
          <w:p w:rsidR="00AE46A7" w:rsidRPr="00335653" w:rsidRDefault="00AE46A7" w:rsidP="00927650">
            <w:pPr>
              <w:jc w:val="left"/>
              <w:rPr>
                <w:rFonts w:cs="Arial"/>
                <w:szCs w:val="24"/>
              </w:rPr>
            </w:pPr>
          </w:p>
          <w:p w:rsidR="000E2A92" w:rsidRPr="00335653" w:rsidRDefault="00AE46A7" w:rsidP="00927650">
            <w:pPr>
              <w:jc w:val="left"/>
              <w:rPr>
                <w:rFonts w:cs="Arial"/>
                <w:szCs w:val="24"/>
              </w:rPr>
            </w:pPr>
            <w:r w:rsidRPr="00335653">
              <w:rPr>
                <w:rFonts w:cs="Arial"/>
                <w:szCs w:val="24"/>
              </w:rPr>
              <w:t xml:space="preserve">The ECtHR recognises the existence of corroborating evidence as a procedural safeguard of a fair trial. The availability (or not) of corroborating evidence often plays a role in determining whether a trial has been fair. The ECtHR will have regard to the quality of evidence, including whether the circumstances in which it was obtained cast doubt on its reliability or accuracy. Where there is a risk of evidence being unreliable, the need for supporting evidence </w:t>
            </w:r>
            <w:r w:rsidR="00FC0F24" w:rsidRPr="00335653">
              <w:rPr>
                <w:rFonts w:cs="Arial"/>
                <w:szCs w:val="24"/>
              </w:rPr>
              <w:t>i</w:t>
            </w:r>
            <w:r w:rsidRPr="00335653">
              <w:rPr>
                <w:rFonts w:cs="Arial"/>
                <w:szCs w:val="24"/>
              </w:rPr>
              <w:t>s greater in order to secure a fair trial.</w:t>
            </w:r>
            <w:r w:rsidRPr="00335653">
              <w:rPr>
                <w:rFonts w:cs="Arial"/>
                <w:szCs w:val="24"/>
                <w:vertAlign w:val="superscript"/>
              </w:rPr>
              <w:footnoteReference w:id="5"/>
            </w:r>
            <w:r w:rsidR="00A7151F" w:rsidRPr="00335653">
              <w:rPr>
                <w:rFonts w:cs="Arial"/>
                <w:szCs w:val="24"/>
              </w:rPr>
              <w:t xml:space="preserve"> Given the doubts raised in relation to confession evidence, the Commission considers that a requirement for </w:t>
            </w:r>
            <w:r w:rsidRPr="00335653">
              <w:rPr>
                <w:rFonts w:cs="Arial"/>
                <w:szCs w:val="24"/>
              </w:rPr>
              <w:t xml:space="preserve">corroboration </w:t>
            </w:r>
            <w:r w:rsidR="00A7151F" w:rsidRPr="00335653">
              <w:rPr>
                <w:rFonts w:cs="Arial"/>
                <w:szCs w:val="24"/>
              </w:rPr>
              <w:t xml:space="preserve">would provide an essential </w:t>
            </w:r>
            <w:r w:rsidRPr="00335653">
              <w:rPr>
                <w:rFonts w:cs="Arial"/>
                <w:szCs w:val="24"/>
              </w:rPr>
              <w:t>safeguard</w:t>
            </w:r>
            <w:r w:rsidR="00A7151F" w:rsidRPr="00335653">
              <w:rPr>
                <w:rFonts w:cs="Arial"/>
                <w:szCs w:val="24"/>
              </w:rPr>
              <w:t>.</w:t>
            </w:r>
            <w:r w:rsidRPr="00335653">
              <w:rPr>
                <w:rFonts w:cs="Arial"/>
                <w:szCs w:val="24"/>
              </w:rPr>
              <w:t xml:space="preserve"> </w:t>
            </w:r>
          </w:p>
          <w:p w:rsidR="00BB7060" w:rsidRPr="00335653" w:rsidRDefault="00BB7060" w:rsidP="00927650">
            <w:pPr>
              <w:jc w:val="left"/>
              <w:rPr>
                <w:rFonts w:cs="Arial"/>
                <w:szCs w:val="24"/>
              </w:rPr>
            </w:pPr>
          </w:p>
          <w:p w:rsidR="000E2A92" w:rsidRPr="00335653" w:rsidRDefault="00BB7060" w:rsidP="00BB7060">
            <w:pPr>
              <w:rPr>
                <w:rFonts w:cs="Arial"/>
                <w:szCs w:val="24"/>
              </w:rPr>
            </w:pPr>
            <w:r w:rsidRPr="00335653">
              <w:rPr>
                <w:rFonts w:cs="Arial"/>
                <w:szCs w:val="24"/>
              </w:rPr>
              <w:t xml:space="preserve">If the Review concludes that corroboration should not be a legal requirement in cases where otherwise a confession would be the sole evidence, then the Commission takes the view that the standard of proof for admissibility of beyond reasonable doubt (such as found in s76 of PACE) could provide a measure of protection against the dangers of false or unreliable confessions. </w:t>
            </w:r>
          </w:p>
        </w:tc>
      </w:tr>
    </w:tbl>
    <w:p w:rsidR="000E2A92" w:rsidRPr="00335653" w:rsidRDefault="000E2A92" w:rsidP="000E2A92">
      <w:pPr>
        <w:rPr>
          <w:rFonts w:cs="Arial"/>
          <w:szCs w:val="24"/>
        </w:rPr>
      </w:pPr>
    </w:p>
    <w:p w:rsidR="00A3325B" w:rsidRDefault="00A3325B" w:rsidP="000E2A92">
      <w:pPr>
        <w:rPr>
          <w:rFonts w:cs="Arial"/>
          <w:b/>
          <w:szCs w:val="24"/>
        </w:rPr>
      </w:pPr>
    </w:p>
    <w:p w:rsidR="000E2A92" w:rsidRPr="00335653" w:rsidRDefault="000E2A92" w:rsidP="000E2A92">
      <w:pPr>
        <w:rPr>
          <w:rFonts w:cs="Arial"/>
          <w:szCs w:val="24"/>
        </w:rPr>
      </w:pPr>
      <w:r w:rsidRPr="00335653">
        <w:rPr>
          <w:rFonts w:cs="Arial"/>
          <w:b/>
          <w:szCs w:val="24"/>
        </w:rPr>
        <w:t xml:space="preserve">Question </w:t>
      </w:r>
      <w:proofErr w:type="spellStart"/>
      <w:r w:rsidRPr="00335653">
        <w:rPr>
          <w:rFonts w:cs="Arial"/>
          <w:b/>
          <w:szCs w:val="24"/>
        </w:rPr>
        <w:t>3B</w:t>
      </w:r>
      <w:proofErr w:type="spellEnd"/>
      <w:r w:rsidRPr="00335653">
        <w:rPr>
          <w:rFonts w:cs="Arial"/>
          <w:b/>
          <w:szCs w:val="24"/>
        </w:rPr>
        <w:t xml:space="preserve">) – Where a confession is corroborated by way of special knowledge, do you consider that the defining characteristic of special knowledge should be: (a) knowledge of </w:t>
      </w:r>
      <w:r w:rsidR="00BF726E" w:rsidRPr="00335653">
        <w:rPr>
          <w:rFonts w:cs="Arial"/>
          <w:b/>
          <w:szCs w:val="24"/>
        </w:rPr>
        <w:t xml:space="preserve">a </w:t>
      </w:r>
      <w:r w:rsidRPr="00335653">
        <w:rPr>
          <w:rFonts w:cs="Arial"/>
          <w:b/>
          <w:szCs w:val="24"/>
        </w:rPr>
        <w:t xml:space="preserve">fact or facts relating to the crime which could only be known by the accused if he was the perpetrator; (b) knowledge of </w:t>
      </w:r>
      <w:r w:rsidR="005F2EB1" w:rsidRPr="00335653">
        <w:rPr>
          <w:rFonts w:cs="Arial"/>
          <w:b/>
          <w:szCs w:val="24"/>
        </w:rPr>
        <w:t xml:space="preserve">a </w:t>
      </w:r>
      <w:r w:rsidRPr="00335653">
        <w:rPr>
          <w:rFonts w:cs="Arial"/>
          <w:b/>
          <w:szCs w:val="24"/>
        </w:rPr>
        <w:t xml:space="preserve">fact or facts relating to the crime which were not in the public domain; (c) some other formulation? </w:t>
      </w:r>
    </w:p>
    <w:p w:rsidR="000E2A92" w:rsidRPr="00335653" w:rsidRDefault="000E2A92" w:rsidP="000E2A92">
      <w:pPr>
        <w:rPr>
          <w:rFonts w:cs="Arial"/>
          <w:szCs w:val="24"/>
        </w:rPr>
      </w:pPr>
    </w:p>
    <w:p w:rsidR="000E2A92" w:rsidRPr="00335653" w:rsidRDefault="000E2A92" w:rsidP="000E2A92">
      <w:pPr>
        <w:rPr>
          <w:rFonts w:cs="Arial"/>
          <w:i/>
          <w:szCs w:val="24"/>
        </w:rPr>
      </w:pPr>
      <w:r w:rsidRPr="00335653">
        <w:rPr>
          <w:rFonts w:cs="Arial"/>
          <w:i/>
          <w:szCs w:val="24"/>
        </w:rPr>
        <w:t>Please provide comments</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E2A92" w:rsidRPr="00335653" w:rsidTr="000E2A92">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0E2A92" w:rsidRPr="00335653" w:rsidRDefault="009E5E12" w:rsidP="009E5E12">
            <w:pPr>
              <w:rPr>
                <w:rFonts w:cs="Arial"/>
                <w:szCs w:val="24"/>
              </w:rPr>
            </w:pPr>
            <w:r w:rsidRPr="00335653">
              <w:rPr>
                <w:rFonts w:cs="Arial"/>
                <w:szCs w:val="24"/>
              </w:rPr>
              <w:t>Given the risks of unreliable or false confessions, corroboration by 'special knowledge' must be meaningful in order to provide an effective safeguard. Ensuring that knowledge is "special" will depend to some extent on other protections in place. For example, if there is recording of all interaction between suspects and police, the opportunity for knowledge to be gleaned by the suspect from information provided (inadvertently or otherwise) by police will be capable of scrutiny. Absent such protections, there is greater need for the information to be known only by the offender.</w:t>
            </w:r>
          </w:p>
        </w:tc>
      </w:tr>
    </w:tbl>
    <w:p w:rsidR="000E2A92" w:rsidRDefault="000E2A92" w:rsidP="009232EF">
      <w:pPr>
        <w:jc w:val="left"/>
        <w:rPr>
          <w:rFonts w:cs="Arial"/>
          <w:b/>
          <w:szCs w:val="24"/>
        </w:rPr>
      </w:pPr>
    </w:p>
    <w:p w:rsidR="00A3325B" w:rsidRDefault="00A3325B" w:rsidP="009232EF">
      <w:pPr>
        <w:jc w:val="left"/>
        <w:rPr>
          <w:rFonts w:cs="Arial"/>
          <w:b/>
          <w:szCs w:val="24"/>
        </w:rPr>
      </w:pPr>
    </w:p>
    <w:p w:rsidR="00A3325B" w:rsidRDefault="00A3325B" w:rsidP="009232EF">
      <w:pPr>
        <w:jc w:val="left"/>
        <w:rPr>
          <w:rFonts w:cs="Arial"/>
          <w:b/>
          <w:szCs w:val="24"/>
        </w:rPr>
      </w:pPr>
    </w:p>
    <w:p w:rsidR="00A3325B" w:rsidRDefault="00A3325B" w:rsidP="009232EF">
      <w:pPr>
        <w:jc w:val="left"/>
        <w:rPr>
          <w:rFonts w:cs="Arial"/>
          <w:b/>
          <w:szCs w:val="24"/>
        </w:rPr>
      </w:pPr>
    </w:p>
    <w:p w:rsidR="00A3325B" w:rsidRDefault="00A3325B" w:rsidP="009232EF">
      <w:pPr>
        <w:jc w:val="left"/>
        <w:rPr>
          <w:rFonts w:cs="Arial"/>
          <w:b/>
          <w:szCs w:val="24"/>
        </w:rPr>
      </w:pPr>
    </w:p>
    <w:p w:rsidR="00A3325B" w:rsidRPr="00335653" w:rsidRDefault="00A3325B" w:rsidP="009232EF">
      <w:pPr>
        <w:jc w:val="left"/>
        <w:rPr>
          <w:rFonts w:cs="Arial"/>
          <w:b/>
          <w:szCs w:val="24"/>
        </w:rPr>
      </w:pPr>
    </w:p>
    <w:p w:rsidR="000E2A92" w:rsidRPr="00335653" w:rsidRDefault="000E2A92" w:rsidP="009232EF">
      <w:pPr>
        <w:jc w:val="left"/>
        <w:rPr>
          <w:rFonts w:cs="Arial"/>
          <w:b/>
          <w:szCs w:val="24"/>
        </w:rPr>
      </w:pPr>
    </w:p>
    <w:p w:rsidR="000E2A92" w:rsidRPr="00335653" w:rsidRDefault="000E2A92" w:rsidP="009232EF">
      <w:pPr>
        <w:jc w:val="left"/>
        <w:rPr>
          <w:rFonts w:cs="Arial"/>
          <w:b/>
          <w:szCs w:val="24"/>
          <w:u w:val="single"/>
        </w:rPr>
      </w:pPr>
      <w:r w:rsidRPr="00335653">
        <w:rPr>
          <w:rFonts w:cs="Arial"/>
          <w:b/>
          <w:szCs w:val="24"/>
          <w:u w:val="single"/>
        </w:rPr>
        <w:lastRenderedPageBreak/>
        <w:t>Question 4</w:t>
      </w:r>
    </w:p>
    <w:p w:rsidR="000E2A92" w:rsidRPr="00335653" w:rsidRDefault="000E2A92" w:rsidP="009232EF">
      <w:pPr>
        <w:jc w:val="left"/>
        <w:rPr>
          <w:rFonts w:cs="Arial"/>
          <w:b/>
          <w:szCs w:val="24"/>
        </w:rPr>
      </w:pPr>
    </w:p>
    <w:p w:rsidR="000E2A92" w:rsidRPr="00335653" w:rsidRDefault="000E2A92" w:rsidP="000E2A92">
      <w:pPr>
        <w:rPr>
          <w:rFonts w:cs="Arial"/>
          <w:b/>
          <w:szCs w:val="24"/>
        </w:rPr>
      </w:pPr>
      <w:r w:rsidRPr="00335653">
        <w:rPr>
          <w:rFonts w:cs="Arial"/>
          <w:b/>
          <w:szCs w:val="24"/>
        </w:rPr>
        <w:t>Hearsay Evidence (Report of the Academic Expert Group – Chapter 8)</w:t>
      </w:r>
    </w:p>
    <w:p w:rsidR="000E2A92" w:rsidRPr="00335653" w:rsidRDefault="000E2A92" w:rsidP="009232EF">
      <w:pPr>
        <w:jc w:val="left"/>
        <w:rPr>
          <w:rFonts w:cs="Arial"/>
          <w:szCs w:val="24"/>
        </w:rPr>
      </w:pPr>
    </w:p>
    <w:p w:rsidR="000E2A92" w:rsidRPr="00335653" w:rsidRDefault="000E2A92" w:rsidP="000E2A92">
      <w:pPr>
        <w:rPr>
          <w:rFonts w:cs="Arial"/>
          <w:b/>
          <w:szCs w:val="24"/>
        </w:rPr>
      </w:pPr>
      <w:r w:rsidRPr="00335653">
        <w:rPr>
          <w:rFonts w:cs="Arial"/>
          <w:b/>
          <w:szCs w:val="24"/>
        </w:rPr>
        <w:t>Question 4A)  Should corroboration be required in cases where hearsay evidence would be the sole or decisive evidence on which a conviction would be based?</w:t>
      </w:r>
    </w:p>
    <w:p w:rsidR="000E2A92" w:rsidRPr="00335653" w:rsidRDefault="000E2A92" w:rsidP="000E2A92">
      <w:pPr>
        <w:rPr>
          <w:rFonts w:cs="Arial"/>
          <w:i/>
          <w:szCs w:val="24"/>
        </w:rPr>
      </w:pPr>
    </w:p>
    <w:p w:rsidR="000E2A92" w:rsidRPr="00335653" w:rsidRDefault="000E2A92" w:rsidP="000E2A92">
      <w:pPr>
        <w:jc w:val="left"/>
        <w:rPr>
          <w:rFonts w:cs="Arial"/>
          <w:szCs w:val="24"/>
        </w:rPr>
      </w:pPr>
      <w:r w:rsidRPr="00335653">
        <w:rPr>
          <w:rFonts w:cs="Arial"/>
          <w:szCs w:val="24"/>
        </w:rPr>
        <w:t xml:space="preserve">Yes  </w:t>
      </w:r>
      <w:r w:rsidR="002B7B82" w:rsidRPr="00335653">
        <w:rPr>
          <w:rFonts w:cs="Arial"/>
          <w:szCs w:val="24"/>
        </w:rPr>
        <w:fldChar w:fldCharType="begin">
          <w:ffData>
            <w:name w:val=""/>
            <w:enabled/>
            <w:calcOnExit w:val="0"/>
            <w:checkBox>
              <w:sizeAuto/>
              <w:default w:val="1"/>
            </w:checkBox>
          </w:ffData>
        </w:fldChar>
      </w:r>
      <w:r w:rsidR="002B7B82" w:rsidRPr="00335653">
        <w:rPr>
          <w:rFonts w:cs="Arial"/>
          <w:szCs w:val="24"/>
        </w:rPr>
        <w:instrText xml:space="preserve"> FORMCHECKBOX </w:instrText>
      </w:r>
      <w:r w:rsidR="002B7B82" w:rsidRPr="00335653">
        <w:rPr>
          <w:rFonts w:cs="Arial"/>
          <w:szCs w:val="24"/>
        </w:rPr>
      </w:r>
      <w:r w:rsidR="002B7B82" w:rsidRPr="00335653">
        <w:rPr>
          <w:rFonts w:cs="Arial"/>
          <w:szCs w:val="24"/>
        </w:rPr>
        <w:fldChar w:fldCharType="end"/>
      </w:r>
      <w:r w:rsidRPr="00335653">
        <w:rPr>
          <w:rFonts w:cs="Arial"/>
          <w:szCs w:val="24"/>
        </w:rPr>
        <w:t xml:space="preserve">  No  </w:t>
      </w:r>
      <w:r w:rsidRPr="00335653">
        <w:rPr>
          <w:rFonts w:cs="Arial"/>
          <w:szCs w:val="24"/>
        </w:rPr>
        <w:fldChar w:fldCharType="begin">
          <w:ffData>
            <w:name w:val="Check2"/>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p>
    <w:p w:rsidR="000E2A92" w:rsidRPr="00335653" w:rsidRDefault="000E2A92" w:rsidP="000E2A92">
      <w:pPr>
        <w:rPr>
          <w:rFonts w:cs="Arial"/>
          <w:i/>
          <w:szCs w:val="24"/>
        </w:rPr>
      </w:pPr>
    </w:p>
    <w:p w:rsidR="000E2A92" w:rsidRPr="00335653" w:rsidRDefault="000E2A92" w:rsidP="000E2A92">
      <w:pPr>
        <w:rPr>
          <w:rFonts w:cs="Arial"/>
          <w:i/>
          <w:szCs w:val="24"/>
        </w:rPr>
      </w:pPr>
      <w:r w:rsidRPr="00335653">
        <w:rPr>
          <w:rFonts w:cs="Arial"/>
          <w:i/>
          <w:szCs w:val="24"/>
        </w:rPr>
        <w:t>Please feel free to provide any additional comments to support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E2A92" w:rsidRPr="00335653" w:rsidTr="000E2A92">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2B7B82" w:rsidRPr="00335653" w:rsidRDefault="00E30B91" w:rsidP="002B7B82">
            <w:pPr>
              <w:rPr>
                <w:rFonts w:eastAsia="Malgun Gothic" w:cs="Arial"/>
                <w:szCs w:val="24"/>
              </w:rPr>
            </w:pPr>
            <w:r w:rsidRPr="00335653">
              <w:rPr>
                <w:rFonts w:cs="Arial"/>
                <w:szCs w:val="24"/>
              </w:rPr>
              <w:t>The right to examine witnesses as expressed in Article 6(3)(d) of the ECHR is on</w:t>
            </w:r>
            <w:r w:rsidRPr="00335653">
              <w:rPr>
                <w:rStyle w:val="sb8d990e2"/>
                <w:rFonts w:cs="Arial"/>
                <w:szCs w:val="24"/>
              </w:rPr>
              <w:t xml:space="preserve">e of the minimum rights which must be accorded to anyone who </w:t>
            </w:r>
            <w:r w:rsidR="00D501B4" w:rsidRPr="00335653">
              <w:rPr>
                <w:rStyle w:val="sb8d990e2"/>
                <w:rFonts w:cs="Arial"/>
                <w:szCs w:val="24"/>
              </w:rPr>
              <w:t>i</w:t>
            </w:r>
            <w:r w:rsidRPr="00335653">
              <w:rPr>
                <w:rStyle w:val="sb8d990e2"/>
                <w:rFonts w:cs="Arial"/>
                <w:szCs w:val="24"/>
              </w:rPr>
              <w:t xml:space="preserve">s charged with a criminal offence. The </w:t>
            </w:r>
            <w:r w:rsidRPr="00335653">
              <w:rPr>
                <w:rFonts w:eastAsia="Malgun Gothic" w:cs="Arial"/>
                <w:szCs w:val="24"/>
              </w:rPr>
              <w:t xml:space="preserve">ECtHR has addressed the inherent danger of unreliability of hearsay evidence and the fact that it offends against the fundamental right of the accused to cross examine witnesses (and thus challenge the </w:t>
            </w:r>
            <w:r w:rsidR="00901C4C" w:rsidRPr="00335653">
              <w:rPr>
                <w:rFonts w:eastAsia="Malgun Gothic" w:cs="Arial"/>
                <w:szCs w:val="24"/>
              </w:rPr>
              <w:t>truth</w:t>
            </w:r>
            <w:r w:rsidRPr="00335653">
              <w:rPr>
                <w:rFonts w:eastAsia="Malgun Gothic" w:cs="Arial"/>
                <w:szCs w:val="24"/>
              </w:rPr>
              <w:t xml:space="preserve"> and reliability of the evidence). </w:t>
            </w:r>
            <w:r w:rsidR="002B7B82" w:rsidRPr="00335653">
              <w:rPr>
                <w:rFonts w:eastAsia="Malgun Gothic" w:cs="Arial"/>
                <w:szCs w:val="24"/>
              </w:rPr>
              <w:t xml:space="preserve">In </w:t>
            </w:r>
            <w:r w:rsidR="002B7B82" w:rsidRPr="00335653">
              <w:rPr>
                <w:rFonts w:eastAsia="Malgun Gothic" w:cs="Arial"/>
                <w:i/>
                <w:szCs w:val="24"/>
              </w:rPr>
              <w:t>Al-Khawaja and Tahery v United Kingdom</w:t>
            </w:r>
            <w:r w:rsidR="002B7B82" w:rsidRPr="00335653">
              <w:rPr>
                <w:rFonts w:eastAsia="Malgun Gothic" w:cs="Arial"/>
                <w:szCs w:val="24"/>
              </w:rPr>
              <w:t>,</w:t>
            </w:r>
            <w:r w:rsidR="002B7B82" w:rsidRPr="00335653">
              <w:rPr>
                <w:rStyle w:val="FootnoteReference"/>
                <w:rFonts w:eastAsia="Malgun Gothic" w:cs="Arial"/>
                <w:szCs w:val="24"/>
              </w:rPr>
              <w:footnoteReference w:id="6"/>
            </w:r>
            <w:r w:rsidR="002B7B82" w:rsidRPr="00335653">
              <w:rPr>
                <w:rFonts w:eastAsia="Malgun Gothic" w:cs="Arial"/>
                <w:szCs w:val="24"/>
              </w:rPr>
              <w:t xml:space="preserve"> the ECtHR had to consider the fairness of trials in which hearsay evidence was admitted and formed the basis of conviction. </w:t>
            </w:r>
          </w:p>
          <w:p w:rsidR="002B7B82" w:rsidRPr="00335653" w:rsidRDefault="002B7B82" w:rsidP="002B7B82">
            <w:pPr>
              <w:rPr>
                <w:rFonts w:eastAsia="Malgun Gothic" w:cs="Arial"/>
                <w:szCs w:val="24"/>
              </w:rPr>
            </w:pPr>
          </w:p>
          <w:p w:rsidR="002B7B82" w:rsidRPr="00335653" w:rsidRDefault="002B7B82" w:rsidP="002B7B82">
            <w:pPr>
              <w:rPr>
                <w:rFonts w:eastAsia="Malgun Gothic" w:cs="Arial"/>
                <w:szCs w:val="24"/>
              </w:rPr>
            </w:pPr>
            <w:r w:rsidRPr="00335653">
              <w:rPr>
                <w:rFonts w:eastAsia="Malgun Gothic" w:cs="Arial"/>
                <w:szCs w:val="24"/>
              </w:rPr>
              <w:t>The safeguards highlighted by the Court included</w:t>
            </w:r>
            <w:r w:rsidRPr="00335653">
              <w:rPr>
                <w:rStyle w:val="FootnoteReference"/>
                <w:rFonts w:eastAsia="Malgun Gothic" w:cs="Arial"/>
                <w:szCs w:val="24"/>
              </w:rPr>
              <w:footnoteReference w:id="7"/>
            </w:r>
            <w:r w:rsidRPr="00335653">
              <w:rPr>
                <w:rFonts w:eastAsia="Malgun Gothic" w:cs="Arial"/>
                <w:szCs w:val="24"/>
              </w:rPr>
              <w:t>:</w:t>
            </w:r>
          </w:p>
          <w:p w:rsidR="002B7B82" w:rsidRPr="00335653" w:rsidRDefault="002B7B82" w:rsidP="002B7B82">
            <w:pPr>
              <w:numPr>
                <w:ilvl w:val="0"/>
                <w:numId w:val="5"/>
              </w:numPr>
              <w:tabs>
                <w:tab w:val="clear" w:pos="720"/>
                <w:tab w:val="clear" w:pos="1440"/>
                <w:tab w:val="clear" w:pos="2160"/>
                <w:tab w:val="clear" w:pos="2880"/>
                <w:tab w:val="clear" w:pos="4680"/>
                <w:tab w:val="clear" w:pos="5400"/>
                <w:tab w:val="clear" w:pos="9000"/>
              </w:tabs>
              <w:spacing w:line="240" w:lineRule="auto"/>
              <w:jc w:val="left"/>
              <w:rPr>
                <w:rFonts w:eastAsia="Malgun Gothic" w:cs="Arial"/>
                <w:szCs w:val="24"/>
              </w:rPr>
            </w:pPr>
            <w:r w:rsidRPr="00335653">
              <w:rPr>
                <w:rFonts w:eastAsia="Malgun Gothic" w:cs="Arial"/>
                <w:szCs w:val="24"/>
              </w:rPr>
              <w:t>Safeguards contained in section 23 of the Criminal Justice Act 1988 and section 116 of the Criminal Justice Act 2003 (which provide limited exceptions to the use of hearsay);</w:t>
            </w:r>
          </w:p>
          <w:p w:rsidR="002B7B82" w:rsidRPr="00335653" w:rsidRDefault="002B7B82" w:rsidP="002B7B82">
            <w:pPr>
              <w:numPr>
                <w:ilvl w:val="0"/>
                <w:numId w:val="5"/>
              </w:numPr>
              <w:tabs>
                <w:tab w:val="clear" w:pos="720"/>
                <w:tab w:val="clear" w:pos="1440"/>
                <w:tab w:val="clear" w:pos="2160"/>
                <w:tab w:val="clear" w:pos="2880"/>
                <w:tab w:val="clear" w:pos="4680"/>
                <w:tab w:val="clear" w:pos="5400"/>
                <w:tab w:val="clear" w:pos="9000"/>
              </w:tabs>
              <w:spacing w:line="240" w:lineRule="auto"/>
              <w:jc w:val="left"/>
              <w:rPr>
                <w:rFonts w:eastAsia="Malgun Gothic" w:cs="Arial"/>
                <w:szCs w:val="24"/>
              </w:rPr>
            </w:pPr>
            <w:r w:rsidRPr="00335653">
              <w:rPr>
                <w:rFonts w:eastAsia="Malgun Gothic" w:cs="Arial"/>
                <w:szCs w:val="24"/>
              </w:rPr>
              <w:t xml:space="preserve">The power of a trial judge under section 125 of the 2003 Act to stop proceedings which was based wholly or partly on a hearsay statement where he is satisfied that the statement is so unconvincing that, considering its importance in the case, a conviction would be unsafe. This power does not exist in the equivalent Scottish legislation; </w:t>
            </w:r>
          </w:p>
          <w:p w:rsidR="002B7B82" w:rsidRPr="00335653" w:rsidRDefault="002B7B82" w:rsidP="002B7B82">
            <w:pPr>
              <w:numPr>
                <w:ilvl w:val="0"/>
                <w:numId w:val="5"/>
              </w:numPr>
              <w:tabs>
                <w:tab w:val="clear" w:pos="720"/>
                <w:tab w:val="clear" w:pos="1440"/>
                <w:tab w:val="clear" w:pos="2160"/>
                <w:tab w:val="clear" w:pos="2880"/>
                <w:tab w:val="clear" w:pos="4680"/>
                <w:tab w:val="clear" w:pos="5400"/>
                <w:tab w:val="clear" w:pos="9000"/>
              </w:tabs>
              <w:spacing w:line="240" w:lineRule="auto"/>
              <w:jc w:val="left"/>
              <w:rPr>
                <w:rFonts w:eastAsia="Malgun Gothic" w:cs="Arial"/>
                <w:szCs w:val="24"/>
              </w:rPr>
            </w:pPr>
            <w:r w:rsidRPr="00335653">
              <w:rPr>
                <w:rFonts w:eastAsia="Malgun Gothic" w:cs="Arial"/>
                <w:szCs w:val="24"/>
              </w:rPr>
              <w:t>The discretion of the trial judge in terms of section 126 of the 2003 Act to refuse to admit hearsay evidence if the case for its exclusion substantially outweighs the case for inclusion. This discretion does not exist in the equivalent Scottish legislation.</w:t>
            </w:r>
          </w:p>
          <w:p w:rsidR="002B7B82" w:rsidRPr="00335653" w:rsidRDefault="002B7B82" w:rsidP="002B7B82">
            <w:pPr>
              <w:numPr>
                <w:ilvl w:val="0"/>
                <w:numId w:val="5"/>
              </w:numPr>
              <w:tabs>
                <w:tab w:val="clear" w:pos="720"/>
                <w:tab w:val="clear" w:pos="1440"/>
                <w:tab w:val="clear" w:pos="2160"/>
                <w:tab w:val="clear" w:pos="2880"/>
                <w:tab w:val="clear" w:pos="4680"/>
                <w:tab w:val="clear" w:pos="5400"/>
                <w:tab w:val="clear" w:pos="9000"/>
              </w:tabs>
              <w:spacing w:line="240" w:lineRule="auto"/>
              <w:jc w:val="left"/>
              <w:rPr>
                <w:rFonts w:eastAsia="Malgun Gothic" w:cs="Arial"/>
                <w:szCs w:val="24"/>
              </w:rPr>
            </w:pPr>
            <w:r w:rsidRPr="00335653">
              <w:rPr>
                <w:rFonts w:eastAsia="Malgun Gothic" w:cs="Arial"/>
                <w:szCs w:val="24"/>
              </w:rPr>
              <w:t>The general discretion to exclude evidence under section 78 of PACE, which does not exist in Scotland;</w:t>
            </w:r>
          </w:p>
          <w:p w:rsidR="002B7B82" w:rsidRPr="00335653" w:rsidRDefault="002B7B82" w:rsidP="002B7B82">
            <w:pPr>
              <w:numPr>
                <w:ilvl w:val="0"/>
                <w:numId w:val="5"/>
              </w:numPr>
              <w:tabs>
                <w:tab w:val="clear" w:pos="720"/>
                <w:tab w:val="clear" w:pos="1440"/>
                <w:tab w:val="clear" w:pos="2160"/>
                <w:tab w:val="clear" w:pos="2880"/>
                <w:tab w:val="clear" w:pos="4680"/>
                <w:tab w:val="clear" w:pos="5400"/>
                <w:tab w:val="clear" w:pos="9000"/>
              </w:tabs>
              <w:spacing w:line="240" w:lineRule="auto"/>
              <w:jc w:val="left"/>
              <w:rPr>
                <w:rFonts w:eastAsia="Malgun Gothic" w:cs="Arial"/>
                <w:szCs w:val="24"/>
              </w:rPr>
            </w:pPr>
            <w:r w:rsidRPr="00335653">
              <w:rPr>
                <w:rFonts w:eastAsia="Malgun Gothic" w:cs="Arial"/>
                <w:szCs w:val="24"/>
              </w:rPr>
              <w:t>Jury directions on the burden of proof and directions on the dangers of relying on a hearsay statement.</w:t>
            </w:r>
          </w:p>
          <w:p w:rsidR="002B7B82" w:rsidRPr="00335653" w:rsidRDefault="002B7B82" w:rsidP="002B7B82">
            <w:pPr>
              <w:rPr>
                <w:rFonts w:eastAsia="Malgun Gothic" w:cs="Arial"/>
                <w:szCs w:val="24"/>
              </w:rPr>
            </w:pPr>
          </w:p>
          <w:p w:rsidR="002B7B82" w:rsidRPr="00335653" w:rsidRDefault="002B7B82" w:rsidP="002B7B82">
            <w:pPr>
              <w:rPr>
                <w:rFonts w:eastAsia="Malgun Gothic" w:cs="Arial"/>
                <w:szCs w:val="24"/>
              </w:rPr>
            </w:pPr>
            <w:r w:rsidRPr="00335653">
              <w:rPr>
                <w:rFonts w:eastAsia="Malgun Gothic" w:cs="Arial"/>
                <w:szCs w:val="24"/>
              </w:rPr>
              <w:t>It is important to note that, even with these strong procedural safeguards in place in England, the existence (or absence) of corroboration was the decisive factor for the ECtHR in determining whether or not there had been a violation of Article 6 in each case.</w:t>
            </w:r>
          </w:p>
          <w:p w:rsidR="00E30B91" w:rsidRPr="00335653" w:rsidRDefault="00E30B91" w:rsidP="002B7B82">
            <w:pPr>
              <w:rPr>
                <w:rFonts w:eastAsia="Malgun Gothic" w:cs="Arial"/>
                <w:szCs w:val="24"/>
              </w:rPr>
            </w:pPr>
          </w:p>
          <w:p w:rsidR="009E5E12" w:rsidRPr="00335653" w:rsidRDefault="00E30B91" w:rsidP="00901C4C">
            <w:pPr>
              <w:rPr>
                <w:rFonts w:cs="Arial"/>
                <w:szCs w:val="24"/>
              </w:rPr>
            </w:pPr>
            <w:r w:rsidRPr="00335653">
              <w:rPr>
                <w:rFonts w:eastAsia="Malgun Gothic" w:cs="Arial"/>
                <w:szCs w:val="24"/>
              </w:rPr>
              <w:t>The Commission considers that corroboration should be required in such cases, along with other safeguards.</w:t>
            </w:r>
            <w:r w:rsidR="00901C4C" w:rsidRPr="00335653">
              <w:rPr>
                <w:rFonts w:eastAsia="Malgun Gothic" w:cs="Arial"/>
                <w:szCs w:val="24"/>
              </w:rPr>
              <w:t xml:space="preserve"> </w:t>
            </w:r>
            <w:r w:rsidR="00901C4C" w:rsidRPr="00335653">
              <w:rPr>
                <w:rFonts w:cs="Arial"/>
                <w:szCs w:val="24"/>
              </w:rPr>
              <w:t xml:space="preserve">As set out in answer 4B below, the </w:t>
            </w:r>
            <w:r w:rsidR="00901C4C" w:rsidRPr="00335653">
              <w:rPr>
                <w:rFonts w:cs="Arial"/>
                <w:szCs w:val="24"/>
              </w:rPr>
              <w:lastRenderedPageBreak/>
              <w:t>Commission consider corroboration by itself may provide insufficient protection and that the ECtHR may consider that more effective procedural safeguards than currently exist are necessary in order to allow effective challenge by the defence.</w:t>
            </w:r>
          </w:p>
        </w:tc>
      </w:tr>
    </w:tbl>
    <w:p w:rsidR="000E2A92" w:rsidRPr="00335653" w:rsidRDefault="000E2A92" w:rsidP="000E2A92">
      <w:pPr>
        <w:rPr>
          <w:rFonts w:cs="Arial"/>
          <w:szCs w:val="24"/>
        </w:rPr>
      </w:pPr>
    </w:p>
    <w:p w:rsidR="000E2A92" w:rsidRPr="00335653" w:rsidRDefault="000E2A92" w:rsidP="000E2A92">
      <w:pPr>
        <w:rPr>
          <w:rFonts w:cs="Arial"/>
          <w:b/>
          <w:szCs w:val="24"/>
        </w:rPr>
      </w:pPr>
      <w:r w:rsidRPr="00335653">
        <w:rPr>
          <w:rFonts w:cs="Arial"/>
          <w:b/>
          <w:szCs w:val="24"/>
        </w:rPr>
        <w:t>Question 4B) What additional (or alternative) counterbalancing measures should be required where hearsay evidence would be the sole or decisive evidence on which a conviction would be based?</w:t>
      </w:r>
    </w:p>
    <w:p w:rsidR="000E2A92" w:rsidRPr="00335653" w:rsidRDefault="000E2A92" w:rsidP="000E2A92">
      <w:pPr>
        <w:rPr>
          <w:rFonts w:cs="Arial"/>
          <w:i/>
          <w:szCs w:val="24"/>
        </w:rPr>
      </w:pPr>
      <w:r w:rsidRPr="00335653">
        <w:rPr>
          <w:rFonts w:cs="Arial"/>
          <w:i/>
          <w:szCs w:val="24"/>
        </w:rPr>
        <w:t>Please provide comments</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E2A92" w:rsidRPr="00335653" w:rsidTr="000E2A92">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E30B91" w:rsidRPr="00335653" w:rsidRDefault="00E30B91" w:rsidP="00E30B91">
            <w:pPr>
              <w:rPr>
                <w:rFonts w:cs="Arial"/>
                <w:color w:val="000000"/>
                <w:szCs w:val="24"/>
              </w:rPr>
            </w:pPr>
            <w:r w:rsidRPr="00335653">
              <w:rPr>
                <w:rFonts w:cs="Arial"/>
                <w:color w:val="000000"/>
                <w:szCs w:val="24"/>
              </w:rPr>
              <w:t>The ECtHR has confirmed that whatever the procedural safeguards may be, they must provide a real chance of effectively challenging the reliability of decisive evidence.</w:t>
            </w:r>
            <w:r w:rsidRPr="00335653">
              <w:rPr>
                <w:rStyle w:val="FootnoteReference"/>
                <w:rFonts w:cs="Arial"/>
                <w:color w:val="000000"/>
                <w:szCs w:val="24"/>
              </w:rPr>
              <w:footnoteReference w:id="8"/>
            </w:r>
            <w:r w:rsidRPr="00335653">
              <w:rPr>
                <w:rFonts w:cs="Arial"/>
                <w:color w:val="000000"/>
                <w:szCs w:val="24"/>
              </w:rPr>
              <w:t xml:space="preserve"> </w:t>
            </w:r>
            <w:r w:rsidR="007C07D3" w:rsidRPr="00335653">
              <w:rPr>
                <w:rFonts w:cs="Arial"/>
                <w:color w:val="000000"/>
                <w:szCs w:val="24"/>
              </w:rPr>
              <w:t xml:space="preserve">The safeguards set out above are of particular relevance. </w:t>
            </w:r>
            <w:r w:rsidRPr="00335653">
              <w:rPr>
                <w:rFonts w:cs="Arial"/>
                <w:color w:val="000000"/>
                <w:szCs w:val="24"/>
              </w:rPr>
              <w:t xml:space="preserve">While in Scots law an accused person can challenge the reliability of evidence in a variety of ways, most often through cross-examination, the Commission is concerned that the absence of an express statutory discretion on the part of the trial judge to exclude a particular piece of evidence of such poor quality that relying upon it for a conviction would be unsafe or might render the trial unfair, may be a deficiency. </w:t>
            </w:r>
          </w:p>
          <w:p w:rsidR="00E30B91" w:rsidRPr="00335653" w:rsidRDefault="00E30B91" w:rsidP="00E30B91">
            <w:pPr>
              <w:rPr>
                <w:rFonts w:cs="Arial"/>
                <w:color w:val="000000"/>
                <w:szCs w:val="24"/>
              </w:rPr>
            </w:pPr>
          </w:p>
          <w:p w:rsidR="00E30B91" w:rsidRPr="00335653" w:rsidRDefault="00E30B91" w:rsidP="00E30B91">
            <w:pPr>
              <w:rPr>
                <w:rFonts w:cs="Arial"/>
                <w:color w:val="000000"/>
                <w:szCs w:val="24"/>
              </w:rPr>
            </w:pPr>
            <w:r w:rsidRPr="00335653">
              <w:rPr>
                <w:rFonts w:cs="Arial"/>
                <w:color w:val="000000"/>
                <w:szCs w:val="24"/>
              </w:rPr>
              <w:t xml:space="preserve">For example, in </w:t>
            </w:r>
            <w:r w:rsidRPr="00335653">
              <w:rPr>
                <w:rFonts w:cs="Arial"/>
                <w:i/>
                <w:color w:val="000000"/>
                <w:szCs w:val="24"/>
              </w:rPr>
              <w:t>N v HMA</w:t>
            </w:r>
            <w:r w:rsidRPr="00335653">
              <w:rPr>
                <w:rFonts w:cs="Arial"/>
                <w:color w:val="000000"/>
                <w:szCs w:val="24"/>
              </w:rPr>
              <w:t xml:space="preserve"> , dealing with whether a trial judge could exercise a common law power to exclude evidence that would otherwise be admitted under </w:t>
            </w:r>
            <w:r w:rsidR="004F554A" w:rsidRPr="00335653">
              <w:rPr>
                <w:rFonts w:cs="Arial"/>
                <w:color w:val="000000"/>
                <w:szCs w:val="24"/>
              </w:rPr>
              <w:t>s</w:t>
            </w:r>
            <w:r w:rsidRPr="00335653">
              <w:rPr>
                <w:rFonts w:cs="Arial"/>
                <w:color w:val="000000"/>
                <w:szCs w:val="24"/>
              </w:rPr>
              <w:t>ection 259 of the 1995 Act (hearsay), the Lord Justice Clerk (Gill) concluded that the trial judge had no such discretionary power.</w:t>
            </w:r>
            <w:r w:rsidRPr="00335653">
              <w:rPr>
                <w:rStyle w:val="FootnoteReference"/>
                <w:rFonts w:cs="Arial"/>
                <w:color w:val="000000"/>
                <w:szCs w:val="24"/>
              </w:rPr>
              <w:footnoteReference w:id="9"/>
            </w:r>
            <w:r w:rsidRPr="00335653">
              <w:rPr>
                <w:rFonts w:cs="Arial"/>
                <w:color w:val="000000"/>
                <w:szCs w:val="24"/>
              </w:rPr>
              <w:t xml:space="preserve"> The Justice Clerk went on to commend the legislative safeguards in the equivalent English legislation as “prudent”.</w:t>
            </w:r>
            <w:r w:rsidRPr="00335653">
              <w:rPr>
                <w:rStyle w:val="FootnoteReference"/>
                <w:rFonts w:cs="Arial"/>
                <w:color w:val="000000"/>
                <w:szCs w:val="24"/>
              </w:rPr>
              <w:footnoteReference w:id="10"/>
            </w:r>
            <w:r w:rsidRPr="00335653">
              <w:rPr>
                <w:rFonts w:cs="Arial"/>
                <w:color w:val="000000"/>
                <w:szCs w:val="24"/>
              </w:rPr>
              <w:t xml:space="preserve">  </w:t>
            </w:r>
          </w:p>
          <w:p w:rsidR="00E30B91" w:rsidRPr="00335653" w:rsidRDefault="00E30B91" w:rsidP="00E30B91">
            <w:pPr>
              <w:rPr>
                <w:rFonts w:cs="Arial"/>
                <w:color w:val="000000"/>
                <w:szCs w:val="24"/>
              </w:rPr>
            </w:pPr>
          </w:p>
          <w:p w:rsidR="0046609C" w:rsidRPr="00335653" w:rsidRDefault="00E30B91" w:rsidP="00E30B91">
            <w:pPr>
              <w:rPr>
                <w:rFonts w:cs="Arial"/>
                <w:color w:val="000000"/>
                <w:szCs w:val="24"/>
              </w:rPr>
            </w:pPr>
            <w:r w:rsidRPr="00335653">
              <w:rPr>
                <w:rFonts w:cs="Arial"/>
                <w:color w:val="000000"/>
                <w:szCs w:val="24"/>
              </w:rPr>
              <w:t>The court has an obligation to ensure a fair trial under Article 6. If the court considers that the admission of certain evidence would render the trial unfair, it should exclude it</w:t>
            </w:r>
            <w:r w:rsidRPr="00335653">
              <w:rPr>
                <w:rStyle w:val="FootnoteReference"/>
                <w:rFonts w:cs="Arial"/>
                <w:color w:val="000000"/>
                <w:szCs w:val="24"/>
              </w:rPr>
              <w:footnoteReference w:id="11"/>
            </w:r>
            <w:r w:rsidRPr="00335653">
              <w:rPr>
                <w:rFonts w:cs="Arial"/>
                <w:color w:val="000000"/>
                <w:szCs w:val="24"/>
              </w:rPr>
              <w:t xml:space="preserve"> or if it has already been admitted, it should stop the proceedings. It appears to the Commission that </w:t>
            </w:r>
            <w:r w:rsidRPr="00335653">
              <w:rPr>
                <w:rFonts w:cs="Arial"/>
                <w:i/>
                <w:color w:val="000000"/>
                <w:szCs w:val="24"/>
              </w:rPr>
              <w:t>N v HMA</w:t>
            </w:r>
            <w:r w:rsidRPr="00335653">
              <w:rPr>
                <w:rFonts w:cs="Arial"/>
                <w:color w:val="000000"/>
                <w:szCs w:val="24"/>
              </w:rPr>
              <w:t xml:space="preserve"> remains one of the only cases in which the court has recognised the connection between excluding evidence and protecting a fair trial under Article 6. </w:t>
            </w:r>
          </w:p>
          <w:p w:rsidR="0046609C" w:rsidRPr="00335653" w:rsidRDefault="0046609C" w:rsidP="00E30B91">
            <w:pPr>
              <w:rPr>
                <w:rFonts w:cs="Arial"/>
                <w:color w:val="000000"/>
                <w:szCs w:val="24"/>
              </w:rPr>
            </w:pPr>
          </w:p>
          <w:p w:rsidR="000E2A92" w:rsidRPr="00335653" w:rsidRDefault="00E30B91" w:rsidP="007C07D3">
            <w:pPr>
              <w:rPr>
                <w:rFonts w:cs="Arial"/>
                <w:color w:val="000000"/>
                <w:szCs w:val="24"/>
              </w:rPr>
            </w:pPr>
            <w:r w:rsidRPr="00335653">
              <w:rPr>
                <w:rFonts w:cs="Arial"/>
                <w:color w:val="000000"/>
                <w:szCs w:val="24"/>
              </w:rPr>
              <w:t>The Commission therefore considers that it may be valuable to provide judges with clear statutory powers both to exclude particular pieces of evidence where they consider that to admit them may render the trial unfair, and to stop proceedings which are based wholly or partly on evidence that is so unconvincing that, given its significance to the case, the trial would be unfair.</w:t>
            </w:r>
          </w:p>
          <w:p w:rsidR="009E5E12" w:rsidRPr="00335653" w:rsidRDefault="009E5E12" w:rsidP="009E5E12">
            <w:pPr>
              <w:rPr>
                <w:rFonts w:cs="Arial"/>
                <w:szCs w:val="24"/>
              </w:rPr>
            </w:pPr>
          </w:p>
          <w:p w:rsidR="009E5E12" w:rsidRPr="00335653" w:rsidRDefault="009E5E12" w:rsidP="00A3325B">
            <w:pPr>
              <w:rPr>
                <w:rFonts w:cs="Arial"/>
                <w:szCs w:val="24"/>
              </w:rPr>
            </w:pPr>
            <w:r w:rsidRPr="00335653">
              <w:rPr>
                <w:rFonts w:cs="Arial"/>
                <w:szCs w:val="24"/>
              </w:rPr>
              <w:t>Such powers should include provisions akin to section 78 of PACE, and sections 125 and 126 of the Criminal Justice Act 2003. In addition a judge should have the power to stop proceedings if no reasonable jury could convict on the strength of the evidence, or if the prejudice caused by the restriction on the rights of the defence jeopardises a fair trial.</w:t>
            </w:r>
          </w:p>
        </w:tc>
      </w:tr>
    </w:tbl>
    <w:p w:rsidR="000E2A92" w:rsidRPr="00335653" w:rsidRDefault="000E2A92" w:rsidP="009232EF">
      <w:pPr>
        <w:jc w:val="left"/>
        <w:rPr>
          <w:rFonts w:cs="Arial"/>
          <w:b/>
          <w:szCs w:val="24"/>
          <w:u w:val="single"/>
        </w:rPr>
      </w:pPr>
      <w:r w:rsidRPr="00335653">
        <w:rPr>
          <w:rFonts w:cs="Arial"/>
          <w:b/>
          <w:szCs w:val="24"/>
          <w:u w:val="single"/>
        </w:rPr>
        <w:lastRenderedPageBreak/>
        <w:t>Question 5</w:t>
      </w:r>
    </w:p>
    <w:p w:rsidR="000E2A92" w:rsidRPr="00335653" w:rsidRDefault="000E2A92" w:rsidP="009232EF">
      <w:pPr>
        <w:jc w:val="left"/>
        <w:rPr>
          <w:rFonts w:cs="Arial"/>
          <w:szCs w:val="24"/>
        </w:rPr>
      </w:pPr>
    </w:p>
    <w:p w:rsidR="000E2A92" w:rsidRPr="00335653" w:rsidRDefault="000E2A92" w:rsidP="000E2A92">
      <w:pPr>
        <w:spacing w:line="240" w:lineRule="auto"/>
        <w:jc w:val="left"/>
        <w:rPr>
          <w:rFonts w:cs="Arial"/>
          <w:b/>
          <w:szCs w:val="24"/>
        </w:rPr>
      </w:pPr>
      <w:r w:rsidRPr="00335653">
        <w:rPr>
          <w:rFonts w:cs="Arial"/>
          <w:b/>
          <w:szCs w:val="24"/>
        </w:rPr>
        <w:t xml:space="preserve">Jury Directions (Report of the Academic Expert Group – Chapter 9) </w:t>
      </w:r>
    </w:p>
    <w:p w:rsidR="000E2A92" w:rsidRPr="00335653" w:rsidRDefault="000E2A92" w:rsidP="009232EF">
      <w:pPr>
        <w:jc w:val="left"/>
        <w:rPr>
          <w:rFonts w:cs="Arial"/>
          <w:b/>
          <w:szCs w:val="24"/>
        </w:rPr>
      </w:pPr>
    </w:p>
    <w:p w:rsidR="000E2A92" w:rsidRPr="00335653" w:rsidRDefault="000E2A92" w:rsidP="000E2A92">
      <w:pPr>
        <w:spacing w:line="240" w:lineRule="auto"/>
        <w:jc w:val="left"/>
        <w:rPr>
          <w:rFonts w:cs="Arial"/>
          <w:szCs w:val="24"/>
        </w:rPr>
      </w:pPr>
      <w:r w:rsidRPr="00335653">
        <w:rPr>
          <w:rFonts w:cs="Arial"/>
          <w:b/>
          <w:szCs w:val="24"/>
        </w:rPr>
        <w:t>Question 5</w:t>
      </w:r>
      <w:r w:rsidR="002B13F0" w:rsidRPr="00335653">
        <w:rPr>
          <w:rFonts w:cs="Arial"/>
          <w:b/>
          <w:szCs w:val="24"/>
        </w:rPr>
        <w:t>)</w:t>
      </w:r>
      <w:r w:rsidRPr="00335653">
        <w:rPr>
          <w:rFonts w:cs="Arial"/>
          <w:b/>
          <w:szCs w:val="24"/>
        </w:rPr>
        <w:t xml:space="preserve"> - Do you have any suggestions as to how jurors should be instructed on the law and how to consider the evidence in a trial?  For example, should they be given written instructions from the judge?</w:t>
      </w:r>
      <w:r w:rsidRPr="00335653">
        <w:rPr>
          <w:rFonts w:cs="Arial"/>
          <w:szCs w:val="24"/>
        </w:rPr>
        <w:t xml:space="preserve">  </w:t>
      </w:r>
    </w:p>
    <w:p w:rsidR="000E2A92" w:rsidRPr="00335653" w:rsidRDefault="000E2A92" w:rsidP="000E2A92">
      <w:pPr>
        <w:spacing w:line="240" w:lineRule="auto"/>
        <w:jc w:val="left"/>
        <w:rPr>
          <w:rFonts w:cs="Arial"/>
          <w:szCs w:val="24"/>
        </w:rPr>
      </w:pPr>
    </w:p>
    <w:p w:rsidR="000E2A92" w:rsidRPr="00335653" w:rsidRDefault="000E2A92" w:rsidP="000E2A92">
      <w:pPr>
        <w:rPr>
          <w:rFonts w:cs="Arial"/>
          <w:i/>
          <w:szCs w:val="24"/>
        </w:rPr>
      </w:pPr>
      <w:r w:rsidRPr="00335653">
        <w:rPr>
          <w:rFonts w:cs="Arial"/>
          <w:i/>
          <w:szCs w:val="24"/>
        </w:rPr>
        <w:t xml:space="preserve">Please provide comments </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E2A92" w:rsidRPr="00335653" w:rsidTr="000E2A92">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46609C" w:rsidRPr="00335653" w:rsidRDefault="0046609C" w:rsidP="0046609C">
            <w:pPr>
              <w:rPr>
                <w:rFonts w:cs="Arial"/>
                <w:color w:val="000000"/>
                <w:szCs w:val="24"/>
              </w:rPr>
            </w:pPr>
            <w:r w:rsidRPr="00335653">
              <w:rPr>
                <w:rFonts w:cs="Arial"/>
                <w:color w:val="000000"/>
                <w:szCs w:val="24"/>
              </w:rPr>
              <w:t>The Commission’s view is that consideration should be given to requiring specific directions to the jury in cases where the rights of the defence are restricted because of the nature of the evidence relied upon. In other words, consideration should be given to requiring specific directions in cases involving matter</w:t>
            </w:r>
            <w:r w:rsidR="00C6128F" w:rsidRPr="00335653">
              <w:rPr>
                <w:rFonts w:cs="Arial"/>
                <w:color w:val="000000"/>
                <w:szCs w:val="24"/>
              </w:rPr>
              <w:t>s</w:t>
            </w:r>
            <w:r w:rsidRPr="00335653">
              <w:rPr>
                <w:rFonts w:cs="Arial"/>
                <w:color w:val="000000"/>
                <w:szCs w:val="24"/>
              </w:rPr>
              <w:t xml:space="preserve"> such as hearsay statements admitted under section 259, evidence obtained unlawfully, evidence from anonymous witnesses or undercover police officers, and cases involving dock identification. The directions should discuss such things as the inherent danger of </w:t>
            </w:r>
            <w:r w:rsidR="00FC0F24" w:rsidRPr="00335653">
              <w:rPr>
                <w:rFonts w:cs="Arial"/>
                <w:color w:val="000000"/>
                <w:szCs w:val="24"/>
              </w:rPr>
              <w:t>this type of</w:t>
            </w:r>
            <w:r w:rsidRPr="00335653">
              <w:rPr>
                <w:rFonts w:cs="Arial"/>
                <w:color w:val="000000"/>
                <w:szCs w:val="24"/>
              </w:rPr>
              <w:t xml:space="preserve"> evidence and the limitations on testing it.</w:t>
            </w:r>
          </w:p>
          <w:p w:rsidR="0046609C" w:rsidRPr="00335653" w:rsidRDefault="0046609C" w:rsidP="0046609C">
            <w:pPr>
              <w:rPr>
                <w:rFonts w:cs="Arial"/>
                <w:color w:val="000000"/>
                <w:szCs w:val="24"/>
              </w:rPr>
            </w:pPr>
          </w:p>
          <w:p w:rsidR="0046609C" w:rsidRPr="00335653" w:rsidRDefault="009E5E12" w:rsidP="0046609C">
            <w:pPr>
              <w:rPr>
                <w:rFonts w:cs="Arial"/>
                <w:color w:val="000000"/>
                <w:szCs w:val="24"/>
              </w:rPr>
            </w:pPr>
            <w:r w:rsidRPr="00335653">
              <w:rPr>
                <w:rFonts w:cs="Arial"/>
                <w:color w:val="000000"/>
                <w:szCs w:val="24"/>
              </w:rPr>
              <w:t>While</w:t>
            </w:r>
            <w:r w:rsidR="0046609C" w:rsidRPr="00335653">
              <w:rPr>
                <w:rFonts w:cs="Arial"/>
                <w:color w:val="000000"/>
                <w:szCs w:val="24"/>
              </w:rPr>
              <w:t xml:space="preserve"> requiring such directions is a safeguard, it may not be a particularly strong one. A judge may, for example, direct the jury on the inherent dangers of hearsay evidence, which can assist in consideration of that evidence, but a direction cannot go further than provide a warning in that regard. It cannot, as </w:t>
            </w:r>
            <w:r w:rsidR="007C07D3" w:rsidRPr="00335653">
              <w:rPr>
                <w:rFonts w:cs="Arial"/>
                <w:color w:val="000000"/>
                <w:szCs w:val="24"/>
              </w:rPr>
              <w:t xml:space="preserve">other </w:t>
            </w:r>
            <w:r w:rsidR="00CC4D25" w:rsidRPr="00335653">
              <w:rPr>
                <w:rFonts w:cs="Arial"/>
                <w:color w:val="000000"/>
                <w:szCs w:val="24"/>
              </w:rPr>
              <w:t>safeguards</w:t>
            </w:r>
            <w:r w:rsidR="007C07D3" w:rsidRPr="00335653">
              <w:rPr>
                <w:rFonts w:cs="Arial"/>
                <w:color w:val="000000"/>
                <w:szCs w:val="24"/>
              </w:rPr>
              <w:t xml:space="preserve">, such as </w:t>
            </w:r>
            <w:r w:rsidR="0046609C" w:rsidRPr="00335653">
              <w:rPr>
                <w:rFonts w:cs="Arial"/>
                <w:color w:val="000000"/>
                <w:szCs w:val="24"/>
              </w:rPr>
              <w:t>corroboration do, provide a practical tool to assist in the process of assessment of reliability of evidence.</w:t>
            </w:r>
          </w:p>
          <w:p w:rsidR="007C07D3" w:rsidRPr="00335653" w:rsidRDefault="007C07D3" w:rsidP="0046609C">
            <w:pPr>
              <w:rPr>
                <w:rFonts w:cs="Arial"/>
                <w:color w:val="000000"/>
                <w:szCs w:val="24"/>
              </w:rPr>
            </w:pPr>
          </w:p>
          <w:p w:rsidR="005426D7" w:rsidRPr="00335653" w:rsidRDefault="007C07D3" w:rsidP="0046609C">
            <w:pPr>
              <w:rPr>
                <w:rFonts w:cs="Arial"/>
                <w:color w:val="000000"/>
                <w:szCs w:val="24"/>
              </w:rPr>
            </w:pPr>
            <w:r w:rsidRPr="00335653">
              <w:rPr>
                <w:rFonts w:cs="Arial"/>
                <w:color w:val="000000"/>
                <w:szCs w:val="24"/>
              </w:rPr>
              <w:t xml:space="preserve">The issue of jury direction raises wider issues in terms of the role of the jury within the criminal justice system and the need </w:t>
            </w:r>
            <w:r w:rsidR="008F2ACF" w:rsidRPr="00335653">
              <w:rPr>
                <w:rFonts w:cs="Arial"/>
                <w:color w:val="000000"/>
                <w:szCs w:val="24"/>
              </w:rPr>
              <w:t xml:space="preserve">to improve the way in which the system supports jury members in their role. </w:t>
            </w:r>
            <w:r w:rsidR="009E5E12" w:rsidRPr="00335653">
              <w:rPr>
                <w:rFonts w:cs="Arial"/>
                <w:szCs w:val="24"/>
              </w:rPr>
              <w:t xml:space="preserve">In a jury system such as Scotland, the Article 6 requirement of a reasoned verdict is achieved through a combination of measures, including the judge's directions and the jury's consequent verdict. It is therefore important that there is confidence that judicial directions are properly understood and applied. Written directions would assist with this. It is equally important that jurors are facilitated to participate effectively in trials. </w:t>
            </w:r>
            <w:r w:rsidR="005426D7" w:rsidRPr="00335653">
              <w:rPr>
                <w:rFonts w:cs="Arial"/>
                <w:color w:val="000000"/>
                <w:szCs w:val="24"/>
              </w:rPr>
              <w:t xml:space="preserve">It is a serious concern that evidence suggests that </w:t>
            </w:r>
            <w:r w:rsidR="00C6128F" w:rsidRPr="00335653">
              <w:rPr>
                <w:rFonts w:cs="Arial"/>
                <w:color w:val="000000"/>
                <w:szCs w:val="24"/>
              </w:rPr>
              <w:t>significant</w:t>
            </w:r>
            <w:r w:rsidR="005426D7" w:rsidRPr="00335653">
              <w:rPr>
                <w:rFonts w:cs="Arial"/>
                <w:color w:val="000000"/>
                <w:szCs w:val="24"/>
              </w:rPr>
              <w:t xml:space="preserve"> number</w:t>
            </w:r>
            <w:r w:rsidR="00C6128F" w:rsidRPr="00335653">
              <w:rPr>
                <w:rFonts w:cs="Arial"/>
                <w:color w:val="000000"/>
                <w:szCs w:val="24"/>
              </w:rPr>
              <w:t>s</w:t>
            </w:r>
            <w:r w:rsidR="005426D7" w:rsidRPr="00335653">
              <w:rPr>
                <w:rFonts w:cs="Arial"/>
                <w:color w:val="000000"/>
                <w:szCs w:val="24"/>
              </w:rPr>
              <w:t xml:space="preserve"> of jury members do not understand important elements of the trial and of instruction</w:t>
            </w:r>
            <w:r w:rsidR="00C6128F" w:rsidRPr="00335653">
              <w:rPr>
                <w:rFonts w:cs="Arial"/>
                <w:color w:val="000000"/>
                <w:szCs w:val="24"/>
              </w:rPr>
              <w:t>s</w:t>
            </w:r>
            <w:r w:rsidR="005426D7" w:rsidRPr="00335653">
              <w:rPr>
                <w:rFonts w:cs="Arial"/>
                <w:color w:val="000000"/>
                <w:szCs w:val="24"/>
              </w:rPr>
              <w:t xml:space="preserve"> given. </w:t>
            </w:r>
            <w:r w:rsidRPr="00335653">
              <w:rPr>
                <w:rFonts w:cs="Arial"/>
                <w:color w:val="000000"/>
                <w:szCs w:val="24"/>
              </w:rPr>
              <w:t xml:space="preserve">The Commission notes the research of the Academic Expert Group, and the example of </w:t>
            </w:r>
            <w:r w:rsidR="008F2ACF" w:rsidRPr="00335653">
              <w:rPr>
                <w:rFonts w:cs="Arial"/>
                <w:color w:val="000000"/>
                <w:szCs w:val="24"/>
              </w:rPr>
              <w:t xml:space="preserve">the </w:t>
            </w:r>
            <w:r w:rsidRPr="00335653">
              <w:rPr>
                <w:rFonts w:cs="Arial"/>
                <w:color w:val="000000"/>
                <w:szCs w:val="24"/>
              </w:rPr>
              <w:t>plain English approach taken in the New Zealand Criminal Jury Trial Bench Book</w:t>
            </w:r>
            <w:r w:rsidR="008F2ACF" w:rsidRPr="00335653">
              <w:rPr>
                <w:rFonts w:cs="Arial"/>
                <w:color w:val="000000"/>
                <w:szCs w:val="24"/>
              </w:rPr>
              <w:t xml:space="preserve">. </w:t>
            </w:r>
            <w:r w:rsidR="005426D7" w:rsidRPr="00335653">
              <w:rPr>
                <w:rFonts w:cs="Arial"/>
                <w:color w:val="000000"/>
                <w:szCs w:val="24"/>
              </w:rPr>
              <w:t>Such an approach would</w:t>
            </w:r>
            <w:r w:rsidR="00C6128F" w:rsidRPr="00335653">
              <w:rPr>
                <w:rFonts w:cs="Arial"/>
                <w:color w:val="000000"/>
                <w:szCs w:val="24"/>
              </w:rPr>
              <w:t xml:space="preserve"> be</w:t>
            </w:r>
            <w:r w:rsidR="005426D7" w:rsidRPr="00335653">
              <w:rPr>
                <w:rFonts w:cs="Arial"/>
                <w:color w:val="000000"/>
                <w:szCs w:val="24"/>
              </w:rPr>
              <w:t xml:space="preserve"> useful </w:t>
            </w:r>
            <w:r w:rsidR="00CC4D25" w:rsidRPr="00335653">
              <w:rPr>
                <w:rFonts w:cs="Arial"/>
                <w:color w:val="000000"/>
                <w:szCs w:val="24"/>
              </w:rPr>
              <w:t xml:space="preserve">as part of a wider programme of making the criminal justice system more accessible for all of those involved. </w:t>
            </w:r>
            <w:r w:rsidR="009E5E12" w:rsidRPr="00335653">
              <w:rPr>
                <w:rFonts w:cs="Arial"/>
                <w:color w:val="000000"/>
                <w:szCs w:val="24"/>
              </w:rPr>
              <w:t>R</w:t>
            </w:r>
            <w:r w:rsidR="009E5E12" w:rsidRPr="00335653">
              <w:rPr>
                <w:rFonts w:cs="Arial"/>
                <w:szCs w:val="24"/>
              </w:rPr>
              <w:t xml:space="preserve">egard will have to be had to those jurors who may have literacy or other challenges and measures will </w:t>
            </w:r>
            <w:r w:rsidR="00DD4F94">
              <w:rPr>
                <w:rFonts w:cs="Arial"/>
                <w:szCs w:val="24"/>
              </w:rPr>
              <w:t xml:space="preserve">be </w:t>
            </w:r>
            <w:r w:rsidR="009E5E12" w:rsidRPr="00335653">
              <w:rPr>
                <w:rFonts w:cs="Arial"/>
                <w:szCs w:val="24"/>
              </w:rPr>
              <w:t>require</w:t>
            </w:r>
            <w:r w:rsidR="00DD4F94">
              <w:rPr>
                <w:rFonts w:cs="Arial"/>
                <w:szCs w:val="24"/>
              </w:rPr>
              <w:t>d</w:t>
            </w:r>
            <w:r w:rsidR="009E5E12" w:rsidRPr="00335653">
              <w:rPr>
                <w:rFonts w:cs="Arial"/>
                <w:szCs w:val="24"/>
              </w:rPr>
              <w:t xml:space="preserve"> to be in place to support those jurors.</w:t>
            </w:r>
          </w:p>
          <w:p w:rsidR="00CC4D25" w:rsidRPr="00335653" w:rsidRDefault="00CC4D25" w:rsidP="0046609C">
            <w:pPr>
              <w:rPr>
                <w:rFonts w:cs="Arial"/>
                <w:color w:val="000000"/>
                <w:szCs w:val="24"/>
              </w:rPr>
            </w:pPr>
          </w:p>
          <w:p w:rsidR="009E5E12" w:rsidRDefault="00CC4D25" w:rsidP="00A3325B">
            <w:pPr>
              <w:rPr>
                <w:rFonts w:cs="Arial"/>
                <w:color w:val="000000"/>
                <w:szCs w:val="24"/>
              </w:rPr>
            </w:pPr>
            <w:r w:rsidRPr="00335653">
              <w:rPr>
                <w:rFonts w:cs="Arial"/>
                <w:color w:val="000000"/>
                <w:szCs w:val="24"/>
              </w:rPr>
              <w:t xml:space="preserve">The Commission considers that the provision of </w:t>
            </w:r>
            <w:r w:rsidR="003065B6" w:rsidRPr="00335653">
              <w:rPr>
                <w:rFonts w:cs="Arial"/>
                <w:color w:val="000000"/>
                <w:szCs w:val="24"/>
              </w:rPr>
              <w:t xml:space="preserve">accessible </w:t>
            </w:r>
            <w:r w:rsidRPr="00335653">
              <w:rPr>
                <w:rFonts w:cs="Arial"/>
                <w:color w:val="000000"/>
                <w:szCs w:val="24"/>
              </w:rPr>
              <w:t>written jury directions could provide additional clarity as to how to consider evidence at trial.</w:t>
            </w:r>
            <w:r w:rsidR="003065B6" w:rsidRPr="00335653">
              <w:rPr>
                <w:rFonts w:cs="Arial"/>
                <w:color w:val="000000"/>
                <w:szCs w:val="24"/>
              </w:rPr>
              <w:t xml:space="preserve"> </w:t>
            </w:r>
          </w:p>
          <w:p w:rsidR="00A3325B" w:rsidRPr="00335653" w:rsidRDefault="00A3325B" w:rsidP="00A3325B">
            <w:pPr>
              <w:rPr>
                <w:rFonts w:cs="Arial"/>
                <w:szCs w:val="24"/>
              </w:rPr>
            </w:pPr>
          </w:p>
        </w:tc>
      </w:tr>
    </w:tbl>
    <w:p w:rsidR="000E2A92" w:rsidRPr="00335653" w:rsidRDefault="000E2A92" w:rsidP="009232EF">
      <w:pPr>
        <w:jc w:val="left"/>
        <w:rPr>
          <w:rFonts w:cs="Arial"/>
          <w:b/>
          <w:szCs w:val="24"/>
          <w:u w:val="single"/>
        </w:rPr>
      </w:pPr>
      <w:r w:rsidRPr="00335653">
        <w:rPr>
          <w:rFonts w:cs="Arial"/>
          <w:b/>
          <w:szCs w:val="24"/>
          <w:u w:val="single"/>
        </w:rPr>
        <w:lastRenderedPageBreak/>
        <w:t>Question 6</w:t>
      </w:r>
    </w:p>
    <w:p w:rsidR="000E2A92" w:rsidRPr="00335653" w:rsidRDefault="000E2A92" w:rsidP="009232EF">
      <w:pPr>
        <w:jc w:val="left"/>
        <w:rPr>
          <w:rFonts w:cs="Arial"/>
          <w:b/>
          <w:szCs w:val="24"/>
          <w:u w:val="single"/>
        </w:rPr>
      </w:pPr>
    </w:p>
    <w:p w:rsidR="000E2A92" w:rsidRPr="00335653" w:rsidRDefault="000E2A92" w:rsidP="000E2A92">
      <w:pPr>
        <w:rPr>
          <w:rFonts w:cs="Arial"/>
          <w:b/>
          <w:szCs w:val="24"/>
        </w:rPr>
      </w:pPr>
      <w:r w:rsidRPr="00335653">
        <w:rPr>
          <w:rFonts w:cs="Arial"/>
          <w:b/>
          <w:szCs w:val="24"/>
        </w:rPr>
        <w:t>Recording of Police Interviews (Report of the Academic Expert Group – Chapter 10)</w:t>
      </w:r>
    </w:p>
    <w:p w:rsidR="000E2A92" w:rsidRPr="00335653" w:rsidRDefault="000E2A92" w:rsidP="009232EF">
      <w:pPr>
        <w:jc w:val="left"/>
        <w:rPr>
          <w:rFonts w:cs="Arial"/>
          <w:b/>
          <w:szCs w:val="24"/>
          <w:u w:val="single"/>
        </w:rPr>
      </w:pPr>
    </w:p>
    <w:p w:rsidR="000E2A92" w:rsidRPr="00335653" w:rsidRDefault="000E2A92" w:rsidP="000E2A92">
      <w:pPr>
        <w:rPr>
          <w:rFonts w:cs="Arial"/>
          <w:b/>
          <w:szCs w:val="24"/>
        </w:rPr>
      </w:pPr>
      <w:r w:rsidRPr="00335653">
        <w:rPr>
          <w:rFonts w:cs="Arial"/>
          <w:b/>
          <w:szCs w:val="24"/>
        </w:rPr>
        <w:t xml:space="preserve">Question 6A) </w:t>
      </w:r>
      <w:r w:rsidR="002B13F0" w:rsidRPr="00335653">
        <w:rPr>
          <w:rFonts w:cs="Arial"/>
          <w:b/>
          <w:szCs w:val="24"/>
        </w:rPr>
        <w:t>-</w:t>
      </w:r>
      <w:r w:rsidRPr="00335653">
        <w:rPr>
          <w:rFonts w:cs="Arial"/>
          <w:b/>
          <w:szCs w:val="24"/>
        </w:rPr>
        <w:t xml:space="preserve"> Do you agree with the general principle that all questioning/interviewing of a suspect should be recorded by audio visual means?</w:t>
      </w:r>
    </w:p>
    <w:p w:rsidR="000E2A92" w:rsidRPr="00335653" w:rsidRDefault="000E2A92" w:rsidP="000E2A92">
      <w:pPr>
        <w:rPr>
          <w:rFonts w:cs="Arial"/>
          <w:i/>
          <w:szCs w:val="24"/>
        </w:rPr>
      </w:pPr>
    </w:p>
    <w:p w:rsidR="000E2A92" w:rsidRPr="00335653" w:rsidRDefault="000E2A92" w:rsidP="000E2A92">
      <w:pPr>
        <w:jc w:val="left"/>
        <w:rPr>
          <w:rFonts w:cs="Arial"/>
          <w:szCs w:val="24"/>
        </w:rPr>
      </w:pPr>
      <w:r w:rsidRPr="00335653">
        <w:rPr>
          <w:rFonts w:cs="Arial"/>
          <w:szCs w:val="24"/>
        </w:rPr>
        <w:t xml:space="preserve">Yes  </w:t>
      </w:r>
      <w:r w:rsidR="00A43DDC" w:rsidRPr="00335653">
        <w:rPr>
          <w:rFonts w:cs="Arial"/>
          <w:szCs w:val="24"/>
        </w:rPr>
        <w:fldChar w:fldCharType="begin">
          <w:ffData>
            <w:name w:val=""/>
            <w:enabled/>
            <w:calcOnExit w:val="0"/>
            <w:checkBox>
              <w:sizeAuto/>
              <w:default w:val="1"/>
            </w:checkBox>
          </w:ffData>
        </w:fldChar>
      </w:r>
      <w:r w:rsidR="00A43DDC" w:rsidRPr="00335653">
        <w:rPr>
          <w:rFonts w:cs="Arial"/>
          <w:szCs w:val="24"/>
        </w:rPr>
        <w:instrText xml:space="preserve"> FORMCHECKBOX </w:instrText>
      </w:r>
      <w:r w:rsidR="00A43DDC" w:rsidRPr="00335653">
        <w:rPr>
          <w:rFonts w:cs="Arial"/>
          <w:szCs w:val="24"/>
        </w:rPr>
      </w:r>
      <w:r w:rsidR="00A43DDC" w:rsidRPr="00335653">
        <w:rPr>
          <w:rFonts w:cs="Arial"/>
          <w:szCs w:val="24"/>
        </w:rPr>
        <w:fldChar w:fldCharType="end"/>
      </w:r>
      <w:r w:rsidRPr="00335653">
        <w:rPr>
          <w:rFonts w:cs="Arial"/>
          <w:szCs w:val="24"/>
        </w:rPr>
        <w:t xml:space="preserve">  No  </w:t>
      </w:r>
      <w:r w:rsidRPr="00335653">
        <w:rPr>
          <w:rFonts w:cs="Arial"/>
          <w:szCs w:val="24"/>
        </w:rPr>
        <w:fldChar w:fldCharType="begin">
          <w:ffData>
            <w:name w:val="Check2"/>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p>
    <w:p w:rsidR="000E2A92" w:rsidRPr="00335653" w:rsidRDefault="000E2A92" w:rsidP="000E2A92">
      <w:pPr>
        <w:rPr>
          <w:rFonts w:cs="Arial"/>
          <w:i/>
          <w:szCs w:val="24"/>
        </w:rPr>
      </w:pPr>
    </w:p>
    <w:p w:rsidR="000E2A92" w:rsidRPr="00335653" w:rsidRDefault="000E2A92" w:rsidP="000E2A92">
      <w:pPr>
        <w:rPr>
          <w:rFonts w:cs="Arial"/>
          <w:i/>
          <w:szCs w:val="24"/>
        </w:rPr>
      </w:pPr>
      <w:r w:rsidRPr="00335653">
        <w:rPr>
          <w:rFonts w:cs="Arial"/>
          <w:i/>
          <w:szCs w:val="24"/>
        </w:rPr>
        <w:t>Please feel free to provide any additional comments to support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484"/>
      </w:tblGrid>
      <w:tr w:rsidR="000E2A92" w:rsidRPr="00335653" w:rsidTr="008932BB">
        <w:trPr>
          <w:trHeight w:val="369"/>
        </w:trPr>
        <w:tc>
          <w:tcPr>
            <w:tcW w:w="8484" w:type="dxa"/>
            <w:tcBorders>
              <w:top w:val="single" w:sz="12" w:space="0" w:color="99CCFF"/>
              <w:left w:val="single" w:sz="12" w:space="0" w:color="99CCFF"/>
              <w:bottom w:val="single" w:sz="12" w:space="0" w:color="99CCFF"/>
              <w:right w:val="single" w:sz="12" w:space="0" w:color="99CCFF"/>
            </w:tcBorders>
            <w:vAlign w:val="center"/>
            <w:hideMark/>
          </w:tcPr>
          <w:p w:rsidR="006D21F2" w:rsidRPr="00335653" w:rsidRDefault="006B7755" w:rsidP="006B7755">
            <w:pPr>
              <w:rPr>
                <w:rFonts w:cs="Arial"/>
                <w:szCs w:val="24"/>
              </w:rPr>
            </w:pPr>
            <w:r w:rsidRPr="00335653">
              <w:rPr>
                <w:rFonts w:cs="Arial"/>
                <w:szCs w:val="24"/>
              </w:rPr>
              <w:t>A suspect in police custody or undergoing questioning by another authority is in a particularly vulnerable position.</w:t>
            </w:r>
            <w:r w:rsidR="00BC4F7E" w:rsidRPr="00335653">
              <w:rPr>
                <w:rFonts w:cs="Arial"/>
                <w:szCs w:val="24"/>
              </w:rPr>
              <w:t xml:space="preserve"> The Commission strongly supports the general principle that questioning/interviewing should be recorded, but reiterates that the provision of legal assistance is </w:t>
            </w:r>
            <w:r w:rsidR="006D21F2" w:rsidRPr="00335653">
              <w:rPr>
                <w:rFonts w:cs="Arial"/>
                <w:szCs w:val="24"/>
              </w:rPr>
              <w:t xml:space="preserve">also </w:t>
            </w:r>
            <w:r w:rsidR="00BC4F7E" w:rsidRPr="00335653">
              <w:rPr>
                <w:rFonts w:cs="Arial"/>
                <w:szCs w:val="24"/>
              </w:rPr>
              <w:t>essential. These safeguards have</w:t>
            </w:r>
            <w:r w:rsidRPr="00335653">
              <w:rPr>
                <w:rFonts w:cs="Arial"/>
                <w:szCs w:val="24"/>
              </w:rPr>
              <w:t xml:space="preserve"> two main purposes. </w:t>
            </w:r>
            <w:r w:rsidR="00BC4F7E" w:rsidRPr="00335653">
              <w:rPr>
                <w:rFonts w:cs="Arial"/>
                <w:szCs w:val="24"/>
              </w:rPr>
              <w:t>F</w:t>
            </w:r>
            <w:r w:rsidRPr="00335653">
              <w:rPr>
                <w:rFonts w:cs="Arial"/>
                <w:szCs w:val="24"/>
              </w:rPr>
              <w:t>irstly, t</w:t>
            </w:r>
            <w:r w:rsidR="00BC4F7E" w:rsidRPr="00335653">
              <w:rPr>
                <w:rFonts w:cs="Arial"/>
                <w:szCs w:val="24"/>
              </w:rPr>
              <w:t>hey</w:t>
            </w:r>
            <w:r w:rsidRPr="00335653">
              <w:rPr>
                <w:rFonts w:cs="Arial"/>
                <w:szCs w:val="24"/>
              </w:rPr>
              <w:t xml:space="preserve"> protect the suspect’s right against self-incrimination. </w:t>
            </w:r>
            <w:r w:rsidR="006D21F2" w:rsidRPr="00335653">
              <w:rPr>
                <w:rFonts w:cs="Arial"/>
                <w:szCs w:val="24"/>
              </w:rPr>
              <w:t>Secondly, they provide a fundamental safeguard against ill treatment at the hands of the authorities.</w:t>
            </w:r>
          </w:p>
          <w:p w:rsidR="006D21F2" w:rsidRPr="00335653" w:rsidRDefault="006D21F2" w:rsidP="006B7755">
            <w:pPr>
              <w:rPr>
                <w:rFonts w:cs="Arial"/>
                <w:szCs w:val="24"/>
              </w:rPr>
            </w:pPr>
          </w:p>
          <w:p w:rsidR="006B7755" w:rsidRPr="00335653" w:rsidRDefault="006B7755" w:rsidP="006B7755">
            <w:pPr>
              <w:rPr>
                <w:rFonts w:cs="Arial"/>
                <w:szCs w:val="24"/>
              </w:rPr>
            </w:pPr>
            <w:r w:rsidRPr="00335653">
              <w:rPr>
                <w:rFonts w:cs="Arial"/>
                <w:szCs w:val="24"/>
              </w:rPr>
              <w:t>Rules of criminal procedure, gathering and use of evidence are increasingly complex. The ECtHR has held that this particular vulnerability can only properly be compensated for by the assistance of a lawyer whose task it is, among other things, to ensure respect of the right of the individual not to incriminate himself. In other words, the defence lawyer provides an important check on the conditions of detention and that the rules of procedure are being properly followed. This helps ensure fairness for the suspect but it is also important in the public interest. Therefore</w:t>
            </w:r>
            <w:r w:rsidR="006D21F2" w:rsidRPr="00335653">
              <w:rPr>
                <w:rFonts w:cs="Arial"/>
                <w:szCs w:val="24"/>
              </w:rPr>
              <w:t>,</w:t>
            </w:r>
            <w:r w:rsidRPr="00335653">
              <w:rPr>
                <w:rFonts w:cs="Arial"/>
                <w:szCs w:val="24"/>
              </w:rPr>
              <w:t xml:space="preserve"> the Commission recommends that access to a lawyer is provided as soon as practicable after detention, regardless of questioning. </w:t>
            </w:r>
          </w:p>
          <w:p w:rsidR="006B7755" w:rsidRPr="00335653" w:rsidRDefault="006B7755" w:rsidP="006B7755">
            <w:pPr>
              <w:rPr>
                <w:rFonts w:cs="Arial"/>
                <w:szCs w:val="24"/>
              </w:rPr>
            </w:pPr>
          </w:p>
          <w:p w:rsidR="00867A9A" w:rsidRPr="00335653" w:rsidRDefault="006B7755" w:rsidP="0069453E">
            <w:pPr>
              <w:rPr>
                <w:rFonts w:cs="Arial"/>
                <w:szCs w:val="24"/>
              </w:rPr>
            </w:pPr>
            <w:r w:rsidRPr="00335653">
              <w:rPr>
                <w:rFonts w:cs="Arial"/>
                <w:szCs w:val="24"/>
              </w:rPr>
              <w:t xml:space="preserve">The Commission further recommends that legal assistance be provided to those not in custody. </w:t>
            </w:r>
            <w:r w:rsidR="006D21F2" w:rsidRPr="00335653">
              <w:rPr>
                <w:rFonts w:cs="Arial"/>
                <w:szCs w:val="24"/>
              </w:rPr>
              <w:t xml:space="preserve">This </w:t>
            </w:r>
            <w:r w:rsidRPr="00335653">
              <w:rPr>
                <w:rFonts w:cs="Arial"/>
                <w:szCs w:val="24"/>
              </w:rPr>
              <w:t xml:space="preserve">is in the interests, not only of the suspect, but of society as a whole. </w:t>
            </w:r>
          </w:p>
          <w:p w:rsidR="00867A9A" w:rsidRPr="00335653" w:rsidRDefault="00867A9A" w:rsidP="0069453E">
            <w:pPr>
              <w:rPr>
                <w:rFonts w:cs="Arial"/>
                <w:szCs w:val="24"/>
              </w:rPr>
            </w:pPr>
          </w:p>
          <w:p w:rsidR="006B7755" w:rsidRPr="00335653" w:rsidRDefault="00867A9A" w:rsidP="0069453E">
            <w:pPr>
              <w:rPr>
                <w:rFonts w:cs="Arial"/>
                <w:color w:val="000000"/>
                <w:szCs w:val="24"/>
              </w:rPr>
            </w:pPr>
            <w:r w:rsidRPr="00335653">
              <w:rPr>
                <w:rFonts w:cs="Arial"/>
                <w:szCs w:val="24"/>
              </w:rPr>
              <w:t xml:space="preserve">The Commission remains concerned at the reliance on telephone advice which is not a substitute for a lawyer who is able to properly assess the situation. The Commission is also concerned at the high rate of waiver in relation to legal advice. </w:t>
            </w:r>
            <w:r w:rsidR="006D21F2" w:rsidRPr="00335653">
              <w:rPr>
                <w:rFonts w:cs="Arial"/>
                <w:szCs w:val="24"/>
              </w:rPr>
              <w:t xml:space="preserve">The Commission </w:t>
            </w:r>
            <w:r w:rsidRPr="00335653">
              <w:rPr>
                <w:rFonts w:cs="Arial"/>
                <w:szCs w:val="24"/>
              </w:rPr>
              <w:t>refers to its previous submissions on this point as set out in the introduction.</w:t>
            </w:r>
          </w:p>
          <w:p w:rsidR="006B7755" w:rsidRPr="00335653" w:rsidRDefault="006B7755" w:rsidP="0069453E">
            <w:pPr>
              <w:rPr>
                <w:rFonts w:cs="Arial"/>
                <w:color w:val="000000"/>
                <w:szCs w:val="24"/>
              </w:rPr>
            </w:pPr>
          </w:p>
          <w:p w:rsidR="005C3768" w:rsidRPr="00335653" w:rsidRDefault="005C3768" w:rsidP="00C6128F">
            <w:pPr>
              <w:rPr>
                <w:rFonts w:cs="Arial"/>
                <w:color w:val="000000"/>
                <w:szCs w:val="24"/>
              </w:rPr>
            </w:pPr>
            <w:r w:rsidRPr="00335653">
              <w:rPr>
                <w:rFonts w:cs="Arial"/>
                <w:color w:val="000000"/>
                <w:szCs w:val="24"/>
              </w:rPr>
              <w:t xml:space="preserve">International </w:t>
            </w:r>
            <w:r w:rsidR="00711AD5" w:rsidRPr="00335653">
              <w:rPr>
                <w:rFonts w:cs="Arial"/>
                <w:color w:val="000000"/>
                <w:szCs w:val="24"/>
              </w:rPr>
              <w:t xml:space="preserve">mechanisms concerned with the prevention of torture </w:t>
            </w:r>
            <w:r w:rsidR="002E71EF" w:rsidRPr="00335653">
              <w:rPr>
                <w:rFonts w:cs="Arial"/>
                <w:color w:val="000000"/>
                <w:szCs w:val="24"/>
              </w:rPr>
              <w:t xml:space="preserve">have consistently found that </w:t>
            </w:r>
            <w:r w:rsidRPr="00335653">
              <w:rPr>
                <w:rFonts w:cs="Arial"/>
                <w:color w:val="000000"/>
                <w:szCs w:val="24"/>
              </w:rPr>
              <w:t xml:space="preserve">audio-video recording in the interrogation rooms of </w:t>
            </w:r>
            <w:r w:rsidR="002E71EF" w:rsidRPr="00335653">
              <w:rPr>
                <w:rFonts w:cs="Arial"/>
                <w:color w:val="000000"/>
                <w:szCs w:val="24"/>
              </w:rPr>
              <w:t>police</w:t>
            </w:r>
            <w:r w:rsidRPr="00335653">
              <w:rPr>
                <w:rFonts w:cs="Arial"/>
                <w:color w:val="000000"/>
                <w:szCs w:val="24"/>
              </w:rPr>
              <w:t xml:space="preserve"> stations have been a significant contributing factor to reducing the amount of ill-treatment alleged by persons detained.</w:t>
            </w:r>
          </w:p>
          <w:p w:rsidR="005C3768" w:rsidRPr="00335653" w:rsidRDefault="005C3768" w:rsidP="00C6128F">
            <w:pPr>
              <w:rPr>
                <w:rFonts w:cs="Arial"/>
                <w:color w:val="000000"/>
                <w:szCs w:val="24"/>
              </w:rPr>
            </w:pPr>
          </w:p>
          <w:p w:rsidR="00C6128F" w:rsidRPr="00335653" w:rsidRDefault="00F009E6" w:rsidP="00C6128F">
            <w:pPr>
              <w:rPr>
                <w:rFonts w:cs="Arial"/>
                <w:color w:val="000000"/>
                <w:szCs w:val="24"/>
              </w:rPr>
            </w:pPr>
            <w:r w:rsidRPr="00335653">
              <w:rPr>
                <w:rFonts w:cs="Arial"/>
                <w:color w:val="000000"/>
                <w:szCs w:val="24"/>
              </w:rPr>
              <w:t>In his 2003 Annual Report to the General Assembly, the UN Special Rapporteur on Torture stressed that ‘all interrogation sessions should be recorded and preferably video-recorded, and the identi</w:t>
            </w:r>
            <w:r w:rsidR="00FC0F24" w:rsidRPr="00335653">
              <w:rPr>
                <w:rFonts w:cs="Arial"/>
                <w:color w:val="000000"/>
                <w:szCs w:val="24"/>
              </w:rPr>
              <w:t>t</w:t>
            </w:r>
            <w:r w:rsidRPr="00335653">
              <w:rPr>
                <w:rFonts w:cs="Arial"/>
                <w:color w:val="000000"/>
                <w:szCs w:val="24"/>
              </w:rPr>
              <w:t xml:space="preserve">y of all persons present should be included in the records. Evidence from non-recorded </w:t>
            </w:r>
            <w:r w:rsidRPr="00335653">
              <w:rPr>
                <w:rFonts w:cs="Arial"/>
                <w:color w:val="000000"/>
                <w:szCs w:val="24"/>
              </w:rPr>
              <w:lastRenderedPageBreak/>
              <w:t>interrogations should be excluded from court proceedings’</w:t>
            </w:r>
            <w:r w:rsidR="00C6128F" w:rsidRPr="00335653">
              <w:rPr>
                <w:rFonts w:cs="Arial"/>
                <w:color w:val="000000"/>
                <w:szCs w:val="24"/>
              </w:rPr>
              <w:t>.</w:t>
            </w:r>
            <w:r w:rsidRPr="00335653">
              <w:rPr>
                <w:rFonts w:cs="Arial"/>
                <w:szCs w:val="24"/>
                <w:vertAlign w:val="superscript"/>
              </w:rPr>
              <w:footnoteReference w:id="12"/>
            </w:r>
          </w:p>
          <w:p w:rsidR="00F009E6" w:rsidRPr="00335653" w:rsidRDefault="00F009E6" w:rsidP="00C6128F">
            <w:pPr>
              <w:rPr>
                <w:rFonts w:cs="Arial"/>
                <w:szCs w:val="24"/>
              </w:rPr>
            </w:pPr>
            <w:r w:rsidRPr="00335653">
              <w:rPr>
                <w:rFonts w:cs="Arial"/>
                <w:szCs w:val="24"/>
                <w:vertAlign w:val="superscript"/>
              </w:rPr>
              <w:t xml:space="preserve"> </w:t>
            </w:r>
          </w:p>
          <w:p w:rsidR="00F009E6" w:rsidRPr="00335653" w:rsidRDefault="00F009E6" w:rsidP="00C6128F">
            <w:pPr>
              <w:rPr>
                <w:rFonts w:cs="Arial"/>
                <w:szCs w:val="24"/>
              </w:rPr>
            </w:pPr>
            <w:r w:rsidRPr="00335653">
              <w:rPr>
                <w:rFonts w:cs="Arial"/>
                <w:color w:val="000000"/>
                <w:szCs w:val="24"/>
              </w:rPr>
              <w:t>The U</w:t>
            </w:r>
            <w:r w:rsidR="00C6128F" w:rsidRPr="00335653">
              <w:rPr>
                <w:rFonts w:cs="Arial"/>
                <w:color w:val="000000"/>
                <w:szCs w:val="24"/>
              </w:rPr>
              <w:t xml:space="preserve">nited Nations </w:t>
            </w:r>
            <w:r w:rsidRPr="00335653">
              <w:rPr>
                <w:rFonts w:cs="Arial"/>
                <w:color w:val="000000"/>
                <w:szCs w:val="24"/>
              </w:rPr>
              <w:t xml:space="preserve">Committee </w:t>
            </w:r>
            <w:r w:rsidR="002E71EF" w:rsidRPr="00335653">
              <w:rPr>
                <w:rFonts w:cs="Arial"/>
                <w:color w:val="000000"/>
                <w:szCs w:val="24"/>
              </w:rPr>
              <w:t>A</w:t>
            </w:r>
            <w:r w:rsidRPr="00335653">
              <w:rPr>
                <w:rFonts w:cs="Arial"/>
                <w:color w:val="000000"/>
                <w:szCs w:val="24"/>
              </w:rPr>
              <w:t xml:space="preserve">gainst Torture in its General Comment No.2 on Article 2 of the </w:t>
            </w:r>
            <w:r w:rsidR="00C6128F" w:rsidRPr="00335653">
              <w:rPr>
                <w:rFonts w:cs="Arial"/>
                <w:color w:val="000000"/>
                <w:szCs w:val="24"/>
              </w:rPr>
              <w:t>Convention against Torture and Other Cruel, Inhuman or Degrading Treatment or Punishment</w:t>
            </w:r>
            <w:r w:rsidRPr="00335653">
              <w:rPr>
                <w:rFonts w:cs="Arial"/>
                <w:color w:val="000000"/>
                <w:szCs w:val="24"/>
              </w:rPr>
              <w:t>, stated that ‘[a]s new methods of prevention (eg. videotaping all interrogations […]) are discovered, tested and found effective, article 2 provides authority to build upon the remaining articles and to expand the scope of measures required to prevent torture’.</w:t>
            </w:r>
            <w:r w:rsidRPr="00335653">
              <w:rPr>
                <w:rFonts w:cs="Arial"/>
                <w:szCs w:val="24"/>
              </w:rPr>
              <w:t xml:space="preserve"> </w:t>
            </w:r>
          </w:p>
          <w:p w:rsidR="00C6128F" w:rsidRPr="00335653" w:rsidRDefault="00C6128F" w:rsidP="00C6128F">
            <w:pPr>
              <w:rPr>
                <w:rFonts w:cs="Arial"/>
                <w:color w:val="000000"/>
                <w:szCs w:val="24"/>
              </w:rPr>
            </w:pPr>
          </w:p>
          <w:p w:rsidR="00F009E6" w:rsidRPr="00335653" w:rsidRDefault="002E71EF" w:rsidP="00C6128F">
            <w:pPr>
              <w:rPr>
                <w:rFonts w:cs="Arial"/>
                <w:szCs w:val="24"/>
              </w:rPr>
            </w:pPr>
            <w:r w:rsidRPr="00335653">
              <w:rPr>
                <w:rFonts w:cs="Arial"/>
                <w:color w:val="000000"/>
                <w:szCs w:val="24"/>
              </w:rPr>
              <w:t>The European Committee for the Prevention of Torture (CPT) Standards provide that</w:t>
            </w:r>
            <w:r w:rsidR="00345BE5" w:rsidRPr="00335653">
              <w:rPr>
                <w:rFonts w:cs="Arial"/>
                <w:color w:val="000000"/>
                <w:szCs w:val="24"/>
              </w:rPr>
              <w:t xml:space="preserve"> </w:t>
            </w:r>
            <w:r w:rsidR="00F009E6" w:rsidRPr="00335653">
              <w:rPr>
                <w:rFonts w:cs="Arial"/>
                <w:color w:val="000000"/>
                <w:szCs w:val="24"/>
              </w:rPr>
              <w:t>‘The electronic (i.e. audio and/or video) recording of police interviews represents an important additional safeguard against the ill-treatment of detainees. The CPT [European Committee for the Prevention of Torture] is pleased to note that the introduction of such systems is under consideration in an increasing number of countries. Such a facility can provide a complete and authentic record of the interview process, thereby greatly facilitating the investigation of any allegations of ill-treatment. This is in the interest both of persons who have been ill-treated by the police and of police officers confronted with unfounded allegations that they have engaged in physical ill-treatment or psychological pressure. Electronic recording of police interviews also reduces the opportunity for defendants to later falsely deny that they have made certain admissions.’</w:t>
            </w:r>
            <w:r w:rsidR="00345BE5" w:rsidRPr="00335653">
              <w:rPr>
                <w:rStyle w:val="FootnoteReference"/>
                <w:rFonts w:cs="Arial"/>
                <w:color w:val="000000"/>
                <w:szCs w:val="24"/>
              </w:rPr>
              <w:footnoteReference w:id="13"/>
            </w:r>
            <w:r w:rsidR="00F009E6" w:rsidRPr="00335653">
              <w:rPr>
                <w:rFonts w:cs="Arial"/>
                <w:szCs w:val="24"/>
              </w:rPr>
              <w:t xml:space="preserve"> </w:t>
            </w:r>
          </w:p>
          <w:p w:rsidR="000E2A92" w:rsidRPr="00335653" w:rsidRDefault="000E2A92" w:rsidP="00C6128F">
            <w:pPr>
              <w:rPr>
                <w:rFonts w:cs="Arial"/>
                <w:color w:val="000000"/>
                <w:szCs w:val="24"/>
              </w:rPr>
            </w:pPr>
          </w:p>
          <w:p w:rsidR="00334E18" w:rsidRPr="00335653" w:rsidRDefault="00345BE5" w:rsidP="00334E18">
            <w:pPr>
              <w:rPr>
                <w:rFonts w:cs="Arial"/>
                <w:color w:val="000000"/>
                <w:szCs w:val="24"/>
              </w:rPr>
            </w:pPr>
            <w:r w:rsidRPr="00335653">
              <w:rPr>
                <w:rFonts w:cs="Arial"/>
                <w:color w:val="000000"/>
                <w:szCs w:val="24"/>
              </w:rPr>
              <w:t xml:space="preserve">While the use of recording is an important safeguard, the right to respect for private and family life requires that there is a clear framework around the use recording, storage and accountability </w:t>
            </w:r>
            <w:r w:rsidR="00334E18" w:rsidRPr="00335653">
              <w:rPr>
                <w:rFonts w:cs="Arial"/>
                <w:color w:val="000000"/>
                <w:szCs w:val="24"/>
              </w:rPr>
              <w:t>in relation to the</w:t>
            </w:r>
            <w:r w:rsidRPr="00335653">
              <w:rPr>
                <w:rFonts w:cs="Arial"/>
                <w:color w:val="000000"/>
                <w:szCs w:val="24"/>
              </w:rPr>
              <w:t xml:space="preserve"> footage</w:t>
            </w:r>
            <w:r w:rsidR="00334E18" w:rsidRPr="00335653">
              <w:rPr>
                <w:rFonts w:cs="Arial"/>
                <w:color w:val="000000"/>
                <w:szCs w:val="24"/>
              </w:rPr>
              <w:t>.</w:t>
            </w:r>
          </w:p>
          <w:p w:rsidR="00334E18" w:rsidRPr="00335653" w:rsidRDefault="00334E18" w:rsidP="00334E18">
            <w:pPr>
              <w:rPr>
                <w:rFonts w:cs="Arial"/>
                <w:color w:val="000000"/>
                <w:szCs w:val="24"/>
              </w:rPr>
            </w:pPr>
          </w:p>
          <w:p w:rsidR="000E2A92" w:rsidRPr="00335653" w:rsidRDefault="008932BB" w:rsidP="00334E18">
            <w:pPr>
              <w:rPr>
                <w:rFonts w:cs="Arial"/>
                <w:color w:val="000000"/>
                <w:szCs w:val="24"/>
              </w:rPr>
            </w:pPr>
            <w:r w:rsidRPr="00335653">
              <w:rPr>
                <w:rFonts w:cs="Arial"/>
                <w:color w:val="000000"/>
                <w:szCs w:val="24"/>
              </w:rPr>
              <w:t>When recording is used during interrogations, it should not be possible to stop recordin</w:t>
            </w:r>
            <w:r w:rsidR="00334E18" w:rsidRPr="00335653">
              <w:rPr>
                <w:rFonts w:cs="Arial"/>
                <w:color w:val="000000"/>
                <w:szCs w:val="24"/>
              </w:rPr>
              <w:t xml:space="preserve">g randomly during questioning. The </w:t>
            </w:r>
            <w:r w:rsidRPr="00335653">
              <w:rPr>
                <w:rFonts w:cs="Arial"/>
                <w:color w:val="000000"/>
                <w:szCs w:val="24"/>
              </w:rPr>
              <w:t>whole interrogation should be taped. If it is possible for investigating officers to interrupt recording, there is an increased risk of a confession or statement being coerced and abuse going unrecorded.</w:t>
            </w:r>
            <w:r w:rsidR="00334E18" w:rsidRPr="00335653">
              <w:rPr>
                <w:rStyle w:val="FootnoteReference"/>
                <w:rFonts w:cs="Arial"/>
                <w:color w:val="000000"/>
                <w:szCs w:val="24"/>
              </w:rPr>
              <w:footnoteReference w:id="14"/>
            </w:r>
          </w:p>
          <w:p w:rsidR="00004093" w:rsidRPr="00335653" w:rsidRDefault="00004093" w:rsidP="00334E18">
            <w:pPr>
              <w:rPr>
                <w:rFonts w:cs="Arial"/>
                <w:color w:val="000000"/>
                <w:szCs w:val="24"/>
              </w:rPr>
            </w:pPr>
          </w:p>
          <w:p w:rsidR="00004093" w:rsidRPr="00335653" w:rsidRDefault="00004093" w:rsidP="00004093">
            <w:pPr>
              <w:rPr>
                <w:rFonts w:cs="Arial"/>
                <w:szCs w:val="24"/>
              </w:rPr>
            </w:pPr>
            <w:r w:rsidRPr="00335653">
              <w:rPr>
                <w:rFonts w:cs="Arial"/>
                <w:szCs w:val="24"/>
              </w:rPr>
              <w:t>Again the Commission notes the number of specialist reporting agencies which carry out investigations, including interviews. Similar protections should be in place in such contexts</w:t>
            </w:r>
            <w:r w:rsidR="0069453E" w:rsidRPr="00335653">
              <w:rPr>
                <w:rFonts w:cs="Arial"/>
                <w:szCs w:val="24"/>
              </w:rPr>
              <w:t>.</w:t>
            </w:r>
          </w:p>
          <w:p w:rsidR="00004093" w:rsidRPr="00335653" w:rsidRDefault="00004093" w:rsidP="0069453E">
            <w:pPr>
              <w:rPr>
                <w:rFonts w:cs="Arial"/>
                <w:szCs w:val="24"/>
              </w:rPr>
            </w:pPr>
          </w:p>
        </w:tc>
      </w:tr>
    </w:tbl>
    <w:p w:rsidR="000E2A92" w:rsidRDefault="000E2A92" w:rsidP="009232EF">
      <w:pPr>
        <w:jc w:val="left"/>
        <w:rPr>
          <w:rFonts w:cs="Arial"/>
          <w:b/>
          <w:szCs w:val="24"/>
          <w:u w:val="single"/>
        </w:rPr>
      </w:pPr>
    </w:p>
    <w:p w:rsidR="00A3325B" w:rsidRDefault="00A3325B" w:rsidP="009232EF">
      <w:pPr>
        <w:jc w:val="left"/>
        <w:rPr>
          <w:rFonts w:cs="Arial"/>
          <w:b/>
          <w:szCs w:val="24"/>
          <w:u w:val="single"/>
        </w:rPr>
      </w:pPr>
    </w:p>
    <w:p w:rsidR="00A3325B" w:rsidRDefault="00A3325B" w:rsidP="009232EF">
      <w:pPr>
        <w:jc w:val="left"/>
        <w:rPr>
          <w:rFonts w:cs="Arial"/>
          <w:b/>
          <w:szCs w:val="24"/>
          <w:u w:val="single"/>
        </w:rPr>
      </w:pPr>
    </w:p>
    <w:p w:rsidR="00A3325B" w:rsidRPr="00335653" w:rsidRDefault="00A3325B" w:rsidP="009232EF">
      <w:pPr>
        <w:jc w:val="left"/>
        <w:rPr>
          <w:rFonts w:cs="Arial"/>
          <w:b/>
          <w:szCs w:val="24"/>
          <w:u w:val="single"/>
        </w:rPr>
      </w:pPr>
    </w:p>
    <w:p w:rsidR="000E2A92" w:rsidRPr="00335653" w:rsidRDefault="000E2A92" w:rsidP="009232EF">
      <w:pPr>
        <w:jc w:val="left"/>
        <w:rPr>
          <w:rFonts w:cs="Arial"/>
          <w:b/>
          <w:szCs w:val="24"/>
          <w:u w:val="single"/>
        </w:rPr>
      </w:pPr>
    </w:p>
    <w:p w:rsidR="000E2A92" w:rsidRPr="00335653" w:rsidRDefault="000E2A92" w:rsidP="000E2A92">
      <w:pPr>
        <w:rPr>
          <w:rFonts w:cs="Arial"/>
          <w:b/>
          <w:szCs w:val="24"/>
        </w:rPr>
      </w:pPr>
      <w:r w:rsidRPr="00335653">
        <w:rPr>
          <w:rFonts w:cs="Arial"/>
          <w:b/>
          <w:szCs w:val="24"/>
        </w:rPr>
        <w:lastRenderedPageBreak/>
        <w:t>Question 6B)  Do you consider that any breach of the Codes of Practice governing interview procedure should normally result in that evidence being inadmissible?</w:t>
      </w:r>
    </w:p>
    <w:p w:rsidR="000E2A92" w:rsidRPr="00335653" w:rsidRDefault="000E2A92" w:rsidP="000E2A92">
      <w:pPr>
        <w:rPr>
          <w:rFonts w:cs="Arial"/>
          <w:b/>
          <w:szCs w:val="24"/>
        </w:rPr>
      </w:pPr>
    </w:p>
    <w:p w:rsidR="000E2A92" w:rsidRPr="00335653" w:rsidRDefault="000E2A92" w:rsidP="000E2A92">
      <w:pPr>
        <w:jc w:val="left"/>
        <w:rPr>
          <w:rFonts w:cs="Arial"/>
          <w:szCs w:val="24"/>
        </w:rPr>
      </w:pPr>
      <w:r w:rsidRPr="00335653">
        <w:rPr>
          <w:rFonts w:cs="Arial"/>
          <w:szCs w:val="24"/>
        </w:rPr>
        <w:t xml:space="preserve">Yes  </w:t>
      </w:r>
      <w:r w:rsidR="008932BB" w:rsidRPr="00335653">
        <w:rPr>
          <w:rFonts w:cs="Arial"/>
          <w:szCs w:val="24"/>
        </w:rPr>
        <w:fldChar w:fldCharType="begin">
          <w:ffData>
            <w:name w:val=""/>
            <w:enabled/>
            <w:calcOnExit w:val="0"/>
            <w:checkBox>
              <w:sizeAuto/>
              <w:default w:val="1"/>
            </w:checkBox>
          </w:ffData>
        </w:fldChar>
      </w:r>
      <w:r w:rsidR="008932BB" w:rsidRPr="00335653">
        <w:rPr>
          <w:rFonts w:cs="Arial"/>
          <w:szCs w:val="24"/>
        </w:rPr>
        <w:instrText xml:space="preserve"> FORMCHECKBOX </w:instrText>
      </w:r>
      <w:r w:rsidR="008932BB" w:rsidRPr="00335653">
        <w:rPr>
          <w:rFonts w:cs="Arial"/>
          <w:szCs w:val="24"/>
        </w:rPr>
      </w:r>
      <w:r w:rsidR="008932BB" w:rsidRPr="00335653">
        <w:rPr>
          <w:rFonts w:cs="Arial"/>
          <w:szCs w:val="24"/>
        </w:rPr>
        <w:fldChar w:fldCharType="end"/>
      </w:r>
      <w:r w:rsidRPr="00335653">
        <w:rPr>
          <w:rFonts w:cs="Arial"/>
          <w:szCs w:val="24"/>
        </w:rPr>
        <w:t xml:space="preserve">  No  </w:t>
      </w:r>
      <w:r w:rsidRPr="00335653">
        <w:rPr>
          <w:rFonts w:cs="Arial"/>
          <w:szCs w:val="24"/>
        </w:rPr>
        <w:fldChar w:fldCharType="begin">
          <w:ffData>
            <w:name w:val="Check2"/>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p>
    <w:p w:rsidR="000E2A92" w:rsidRPr="00335653" w:rsidRDefault="000E2A92" w:rsidP="000E2A92">
      <w:pPr>
        <w:rPr>
          <w:rFonts w:cs="Arial"/>
          <w:i/>
          <w:szCs w:val="24"/>
        </w:rPr>
      </w:pPr>
    </w:p>
    <w:p w:rsidR="000E2A92" w:rsidRPr="00335653" w:rsidRDefault="000E2A92" w:rsidP="000E2A92">
      <w:pPr>
        <w:rPr>
          <w:rFonts w:cs="Arial"/>
          <w:i/>
          <w:szCs w:val="24"/>
        </w:rPr>
      </w:pPr>
      <w:r w:rsidRPr="00335653">
        <w:rPr>
          <w:rFonts w:cs="Arial"/>
          <w:i/>
          <w:szCs w:val="24"/>
        </w:rPr>
        <w:t>Please feel free to provide any additional comments to support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E2A92" w:rsidRPr="00335653" w:rsidTr="000E2A92">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0E2A92" w:rsidRPr="00335653" w:rsidRDefault="008932BB">
            <w:pPr>
              <w:jc w:val="left"/>
              <w:rPr>
                <w:rFonts w:cs="Arial"/>
                <w:szCs w:val="24"/>
              </w:rPr>
            </w:pPr>
            <w:r w:rsidRPr="00335653">
              <w:rPr>
                <w:rFonts w:cs="Arial"/>
                <w:szCs w:val="24"/>
              </w:rPr>
              <w:t xml:space="preserve">There should be a presumption against admissibility in cases of breach of the Code of Practice in line with the above recommendations. As noted by the Reference Group, a robust approach can lead to significant changes in culture within criminal justice agencies. </w:t>
            </w:r>
          </w:p>
          <w:p w:rsidR="000E2A92" w:rsidRPr="00335653" w:rsidRDefault="000E2A92">
            <w:pPr>
              <w:jc w:val="left"/>
              <w:rPr>
                <w:rFonts w:cs="Arial"/>
                <w:szCs w:val="24"/>
              </w:rPr>
            </w:pPr>
          </w:p>
        </w:tc>
      </w:tr>
    </w:tbl>
    <w:p w:rsidR="000E2A92" w:rsidRPr="00335653" w:rsidRDefault="000E2A92" w:rsidP="000E2A92">
      <w:pPr>
        <w:rPr>
          <w:rFonts w:cs="Arial"/>
          <w:b/>
          <w:szCs w:val="24"/>
        </w:rPr>
      </w:pPr>
    </w:p>
    <w:p w:rsidR="000E2A92" w:rsidRPr="00335653" w:rsidRDefault="000E2A92" w:rsidP="000E2A92">
      <w:pPr>
        <w:rPr>
          <w:rFonts w:cs="Arial"/>
          <w:b/>
          <w:szCs w:val="24"/>
        </w:rPr>
      </w:pPr>
      <w:r w:rsidRPr="00335653">
        <w:rPr>
          <w:rFonts w:cs="Arial"/>
          <w:b/>
          <w:szCs w:val="24"/>
        </w:rPr>
        <w:t xml:space="preserve">Question 6C)  If you answered no, what do you consider should be the test for admitting evidence where the Code has been breached? </w:t>
      </w:r>
    </w:p>
    <w:p w:rsidR="000E2A92" w:rsidRPr="00335653" w:rsidRDefault="000E2A92" w:rsidP="000E2A92">
      <w:pPr>
        <w:rPr>
          <w:rFonts w:cs="Arial"/>
          <w:szCs w:val="24"/>
        </w:rPr>
      </w:pPr>
    </w:p>
    <w:p w:rsidR="000E2A92" w:rsidRPr="00335653" w:rsidRDefault="000E2A92" w:rsidP="000E2A92">
      <w:pPr>
        <w:rPr>
          <w:rFonts w:cs="Arial"/>
          <w:i/>
          <w:szCs w:val="24"/>
        </w:rPr>
      </w:pPr>
      <w:r w:rsidRPr="00335653">
        <w:rPr>
          <w:rFonts w:cs="Arial"/>
          <w:i/>
          <w:szCs w:val="24"/>
        </w:rPr>
        <w:t>Please provide comments</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E2A92" w:rsidRPr="00335653" w:rsidTr="000E2A92">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004093" w:rsidRPr="00335653" w:rsidRDefault="0079576D">
            <w:pPr>
              <w:jc w:val="left"/>
              <w:rPr>
                <w:rFonts w:cs="Arial"/>
                <w:szCs w:val="24"/>
              </w:rPr>
            </w:pPr>
            <w:r w:rsidRPr="00335653">
              <w:rPr>
                <w:rFonts w:cs="Arial"/>
                <w:szCs w:val="24"/>
              </w:rPr>
              <w:t>While the Commission agrees with the proposition in 6B, it recognises that there is a balance to be struck in terms of the interests of justice, and there may be rare occasions where</w:t>
            </w:r>
            <w:r w:rsidR="0069453E" w:rsidRPr="00335653">
              <w:rPr>
                <w:rFonts w:cs="Arial"/>
                <w:szCs w:val="24"/>
              </w:rPr>
              <w:t xml:space="preserve"> the Code has been breached due to technical issues, and</w:t>
            </w:r>
            <w:r w:rsidRPr="00335653">
              <w:rPr>
                <w:rFonts w:cs="Arial"/>
                <w:szCs w:val="24"/>
              </w:rPr>
              <w:t xml:space="preserve"> it is </w:t>
            </w:r>
            <w:r w:rsidR="0069453E" w:rsidRPr="00335653">
              <w:rPr>
                <w:rFonts w:cs="Arial"/>
                <w:szCs w:val="24"/>
              </w:rPr>
              <w:t xml:space="preserve">important </w:t>
            </w:r>
            <w:r w:rsidRPr="00335653">
              <w:rPr>
                <w:rFonts w:cs="Arial"/>
                <w:szCs w:val="24"/>
              </w:rPr>
              <w:t>in the interests of</w:t>
            </w:r>
            <w:r w:rsidR="00004093" w:rsidRPr="00335653">
              <w:rPr>
                <w:rFonts w:cs="Arial"/>
                <w:szCs w:val="24"/>
              </w:rPr>
              <w:t xml:space="preserve"> justice to admit the evidence. The Commission does not have a strong view on the formulation of such a test, although it may be useful to consider a standard of requiring the Crown to have to establish beyond reasonable doubt that there is no unfairness caused. Whatever the formulation</w:t>
            </w:r>
            <w:r w:rsidR="0069453E" w:rsidRPr="00335653">
              <w:rPr>
                <w:rFonts w:cs="Arial"/>
                <w:szCs w:val="24"/>
              </w:rPr>
              <w:t>,</w:t>
            </w:r>
            <w:r w:rsidR="00004093" w:rsidRPr="00335653">
              <w:rPr>
                <w:rFonts w:cs="Arial"/>
                <w:szCs w:val="24"/>
              </w:rPr>
              <w:t xml:space="preserve"> the </w:t>
            </w:r>
            <w:r w:rsidRPr="00335653">
              <w:rPr>
                <w:rFonts w:cs="Arial"/>
                <w:szCs w:val="24"/>
              </w:rPr>
              <w:t>test for such occasions should be a high one</w:t>
            </w:r>
            <w:r w:rsidR="00004093" w:rsidRPr="00335653">
              <w:rPr>
                <w:rFonts w:cs="Arial"/>
                <w:szCs w:val="24"/>
              </w:rPr>
              <w:t>, and it must be clear that admitting evidence in such situations should be in very limited circumstances at address rare situations rather than as a general discretion.</w:t>
            </w:r>
          </w:p>
          <w:p w:rsidR="000E2A92" w:rsidRPr="00335653" w:rsidRDefault="000E2A92">
            <w:pPr>
              <w:jc w:val="left"/>
              <w:rPr>
                <w:rFonts w:cs="Arial"/>
                <w:szCs w:val="24"/>
              </w:rPr>
            </w:pPr>
          </w:p>
        </w:tc>
      </w:tr>
    </w:tbl>
    <w:p w:rsidR="000E2A92" w:rsidRPr="00335653" w:rsidRDefault="000E2A92" w:rsidP="009232EF">
      <w:pPr>
        <w:jc w:val="left"/>
        <w:rPr>
          <w:rFonts w:cs="Arial"/>
          <w:b/>
          <w:szCs w:val="24"/>
          <w:u w:val="single"/>
        </w:rPr>
      </w:pPr>
    </w:p>
    <w:p w:rsidR="000E2A92" w:rsidRPr="00335653" w:rsidRDefault="000E2A92" w:rsidP="009232EF">
      <w:pPr>
        <w:jc w:val="left"/>
        <w:rPr>
          <w:rFonts w:cs="Arial"/>
          <w:b/>
          <w:szCs w:val="24"/>
          <w:u w:val="single"/>
        </w:rPr>
      </w:pPr>
      <w:r w:rsidRPr="00335653">
        <w:rPr>
          <w:rFonts w:cs="Arial"/>
          <w:b/>
          <w:szCs w:val="24"/>
          <w:u w:val="single"/>
        </w:rPr>
        <w:t>Question 7</w:t>
      </w:r>
    </w:p>
    <w:p w:rsidR="000E2A92" w:rsidRPr="00335653" w:rsidRDefault="000E2A92" w:rsidP="009232EF">
      <w:pPr>
        <w:jc w:val="left"/>
        <w:rPr>
          <w:rFonts w:cs="Arial"/>
          <w:b/>
          <w:szCs w:val="24"/>
          <w:u w:val="single"/>
        </w:rPr>
      </w:pPr>
    </w:p>
    <w:p w:rsidR="000E2A92" w:rsidRPr="00335653" w:rsidRDefault="000E2A92" w:rsidP="000E2A92">
      <w:pPr>
        <w:tabs>
          <w:tab w:val="clear" w:pos="720"/>
          <w:tab w:val="clear" w:pos="1440"/>
          <w:tab w:val="clear" w:pos="2160"/>
          <w:tab w:val="clear" w:pos="2880"/>
        </w:tabs>
        <w:autoSpaceDE w:val="0"/>
        <w:autoSpaceDN w:val="0"/>
        <w:adjustRightInd w:val="0"/>
        <w:rPr>
          <w:rFonts w:cs="Arial"/>
          <w:b/>
          <w:szCs w:val="24"/>
        </w:rPr>
      </w:pPr>
      <w:r w:rsidRPr="00335653">
        <w:rPr>
          <w:rFonts w:cs="Arial"/>
          <w:b/>
          <w:szCs w:val="24"/>
        </w:rPr>
        <w:t>No Case to Answer Submission (Report of the Academic Expert Group – Chapter 12)</w:t>
      </w:r>
    </w:p>
    <w:p w:rsidR="000E2A92" w:rsidRPr="00335653" w:rsidRDefault="000E2A92" w:rsidP="009232EF">
      <w:pPr>
        <w:jc w:val="left"/>
        <w:rPr>
          <w:rFonts w:cs="Arial"/>
          <w:b/>
          <w:szCs w:val="24"/>
          <w:u w:val="single"/>
        </w:rPr>
      </w:pPr>
    </w:p>
    <w:p w:rsidR="000E2A92" w:rsidRPr="00335653" w:rsidRDefault="000E2A92" w:rsidP="000E2A92">
      <w:pPr>
        <w:rPr>
          <w:rFonts w:cs="Arial"/>
          <w:b/>
          <w:szCs w:val="24"/>
        </w:rPr>
      </w:pPr>
      <w:r w:rsidRPr="00335653">
        <w:rPr>
          <w:rFonts w:cs="Arial"/>
          <w:b/>
          <w:szCs w:val="24"/>
        </w:rPr>
        <w:t>Question 7A) - Do you agree that the circumstances in which the no case to answer submission can be made should be broadened, and that a judge should be empowered to uphold a submission of no case to answer if he or she considers that no jury or judge acting reasonably could find the charge proved beyond reasonable doubt on the evidence presented?</w:t>
      </w:r>
    </w:p>
    <w:p w:rsidR="000E2A92" w:rsidRPr="00335653" w:rsidRDefault="000E2A92" w:rsidP="000E2A92">
      <w:pPr>
        <w:rPr>
          <w:rFonts w:cs="Arial"/>
          <w:b/>
          <w:szCs w:val="24"/>
        </w:rPr>
      </w:pPr>
    </w:p>
    <w:p w:rsidR="000E2A92" w:rsidRPr="00335653" w:rsidRDefault="000E2A92" w:rsidP="000E2A92">
      <w:pPr>
        <w:jc w:val="left"/>
        <w:rPr>
          <w:rFonts w:cs="Arial"/>
          <w:szCs w:val="24"/>
        </w:rPr>
      </w:pPr>
      <w:r w:rsidRPr="00335653">
        <w:rPr>
          <w:rFonts w:cs="Arial"/>
          <w:szCs w:val="24"/>
        </w:rPr>
        <w:t xml:space="preserve">Yes  </w:t>
      </w:r>
      <w:r w:rsidR="00334E18" w:rsidRPr="00335653">
        <w:rPr>
          <w:rFonts w:cs="Arial"/>
          <w:szCs w:val="24"/>
        </w:rPr>
        <w:fldChar w:fldCharType="begin">
          <w:ffData>
            <w:name w:val=""/>
            <w:enabled/>
            <w:calcOnExit w:val="0"/>
            <w:checkBox>
              <w:sizeAuto/>
              <w:default w:val="1"/>
            </w:checkBox>
          </w:ffData>
        </w:fldChar>
      </w:r>
      <w:r w:rsidR="00334E18" w:rsidRPr="00335653">
        <w:rPr>
          <w:rFonts w:cs="Arial"/>
          <w:szCs w:val="24"/>
        </w:rPr>
        <w:instrText xml:space="preserve"> FORMCHECKBOX </w:instrText>
      </w:r>
      <w:r w:rsidR="00334E18" w:rsidRPr="00335653">
        <w:rPr>
          <w:rFonts w:cs="Arial"/>
          <w:szCs w:val="24"/>
        </w:rPr>
      </w:r>
      <w:r w:rsidR="00334E18" w:rsidRPr="00335653">
        <w:rPr>
          <w:rFonts w:cs="Arial"/>
          <w:szCs w:val="24"/>
        </w:rPr>
        <w:fldChar w:fldCharType="end"/>
      </w:r>
      <w:r w:rsidRPr="00335653">
        <w:rPr>
          <w:rFonts w:cs="Arial"/>
          <w:szCs w:val="24"/>
        </w:rPr>
        <w:t xml:space="preserve">  No  </w:t>
      </w:r>
      <w:r w:rsidRPr="00335653">
        <w:rPr>
          <w:rFonts w:cs="Arial"/>
          <w:szCs w:val="24"/>
        </w:rPr>
        <w:fldChar w:fldCharType="begin">
          <w:ffData>
            <w:name w:val="Check2"/>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p>
    <w:p w:rsidR="000E2A92" w:rsidRPr="00335653" w:rsidRDefault="000E2A92" w:rsidP="000E2A92">
      <w:pPr>
        <w:rPr>
          <w:rFonts w:cs="Arial"/>
          <w:i/>
          <w:szCs w:val="24"/>
        </w:rPr>
      </w:pPr>
    </w:p>
    <w:p w:rsidR="000E2A92" w:rsidRPr="00335653" w:rsidRDefault="000E2A92" w:rsidP="000E2A92">
      <w:pPr>
        <w:rPr>
          <w:rFonts w:cs="Arial"/>
          <w:i/>
          <w:szCs w:val="24"/>
        </w:rPr>
      </w:pPr>
      <w:r w:rsidRPr="00335653">
        <w:rPr>
          <w:rFonts w:cs="Arial"/>
          <w:i/>
          <w:szCs w:val="24"/>
        </w:rPr>
        <w:t>Please feel free to provide any additional comments to support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E2A92" w:rsidRPr="00335653" w:rsidTr="000E2A92">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2B0B04" w:rsidRPr="00335653" w:rsidRDefault="002B0B04" w:rsidP="00AE03B4">
            <w:pPr>
              <w:rPr>
                <w:rFonts w:cs="Arial"/>
                <w:color w:val="000000"/>
                <w:szCs w:val="24"/>
              </w:rPr>
            </w:pPr>
            <w:r w:rsidRPr="00335653">
              <w:rPr>
                <w:rFonts w:cs="Arial"/>
                <w:color w:val="000000"/>
                <w:szCs w:val="24"/>
              </w:rPr>
              <w:t xml:space="preserve">The Commission considers it to be essential that in the absence of corroboration there is a much broader scope for trial judges in both solemn and summary cases to uphold a submission of no case to answer </w:t>
            </w:r>
            <w:r w:rsidR="004F554A" w:rsidRPr="00335653">
              <w:rPr>
                <w:rFonts w:cs="Arial"/>
                <w:color w:val="000000"/>
                <w:szCs w:val="24"/>
              </w:rPr>
              <w:t xml:space="preserve">where </w:t>
            </w:r>
            <w:r w:rsidRPr="00335653">
              <w:rPr>
                <w:rFonts w:cs="Arial"/>
                <w:color w:val="000000"/>
                <w:szCs w:val="24"/>
              </w:rPr>
              <w:t>he or she considers that no jury or judge acting reasonably could find the charge proved beyond reasonable doubt on the evidence presented.</w:t>
            </w:r>
          </w:p>
          <w:p w:rsidR="002B0B04" w:rsidRPr="00335653" w:rsidRDefault="002B0B04" w:rsidP="00AE03B4">
            <w:pPr>
              <w:rPr>
                <w:rFonts w:cs="Arial"/>
                <w:color w:val="000000"/>
                <w:szCs w:val="24"/>
              </w:rPr>
            </w:pPr>
          </w:p>
          <w:p w:rsidR="00AE03B4" w:rsidRPr="00335653" w:rsidRDefault="002B0B04" w:rsidP="004F554A">
            <w:pPr>
              <w:rPr>
                <w:rFonts w:cs="Arial"/>
                <w:color w:val="000000"/>
                <w:szCs w:val="24"/>
              </w:rPr>
            </w:pPr>
            <w:r w:rsidRPr="00335653">
              <w:rPr>
                <w:rFonts w:cs="Arial"/>
                <w:color w:val="000000"/>
                <w:szCs w:val="24"/>
              </w:rPr>
              <w:t>As set out above</w:t>
            </w:r>
            <w:r w:rsidR="00CB7BF2" w:rsidRPr="00335653">
              <w:rPr>
                <w:rFonts w:cs="Arial"/>
                <w:color w:val="000000"/>
                <w:szCs w:val="24"/>
              </w:rPr>
              <w:t>,</w:t>
            </w:r>
            <w:r w:rsidRPr="00335653">
              <w:rPr>
                <w:rFonts w:cs="Arial"/>
                <w:color w:val="000000"/>
                <w:szCs w:val="24"/>
              </w:rPr>
              <w:t xml:space="preserve"> </w:t>
            </w:r>
            <w:r w:rsidR="004F554A" w:rsidRPr="00335653">
              <w:rPr>
                <w:rFonts w:cs="Arial"/>
                <w:color w:val="000000"/>
                <w:szCs w:val="24"/>
              </w:rPr>
              <w:t>the State has a positive duty under Article 6 to put in place a domestic system that meets the requirements of a fair trial. Courts must therefore be in a position, as a matter of domestic law, to ensure the trial is fair and meets the requirements of Article 6. As a matter of law</w:t>
            </w:r>
            <w:r w:rsidR="00DD4F94" w:rsidRPr="00335653">
              <w:rPr>
                <w:rFonts w:cs="Arial"/>
                <w:color w:val="000000"/>
                <w:szCs w:val="24"/>
              </w:rPr>
              <w:t>, it</w:t>
            </w:r>
            <w:r w:rsidR="004F554A" w:rsidRPr="00335653">
              <w:rPr>
                <w:rFonts w:cs="Arial"/>
                <w:color w:val="000000"/>
                <w:szCs w:val="24"/>
              </w:rPr>
              <w:t xml:space="preserve"> is for the judge </w:t>
            </w:r>
            <w:r w:rsidR="00CB7BF2" w:rsidRPr="00335653">
              <w:rPr>
                <w:rFonts w:cs="Arial"/>
                <w:color w:val="000000"/>
                <w:szCs w:val="24"/>
              </w:rPr>
              <w:t xml:space="preserve">to </w:t>
            </w:r>
            <w:r w:rsidR="004F554A" w:rsidRPr="00335653">
              <w:rPr>
                <w:rFonts w:cs="Arial"/>
                <w:color w:val="000000"/>
                <w:szCs w:val="24"/>
              </w:rPr>
              <w:t>consider.</w:t>
            </w:r>
            <w:r w:rsidRPr="00335653">
              <w:rPr>
                <w:rFonts w:cs="Arial"/>
                <w:color w:val="000000"/>
                <w:szCs w:val="24"/>
              </w:rPr>
              <w:t xml:space="preserve"> </w:t>
            </w:r>
            <w:r w:rsidR="00AE03B4" w:rsidRPr="00335653">
              <w:rPr>
                <w:rFonts w:cs="Arial"/>
                <w:color w:val="000000"/>
                <w:szCs w:val="24"/>
              </w:rPr>
              <w:t xml:space="preserve">Allowing a jury to consider convicting an accused on the basis of poor evidence, or evidence where the ability of the defence to challenge it has been significantly restricted, jeopardises a fair trial. </w:t>
            </w:r>
          </w:p>
          <w:p w:rsidR="00AE03B4" w:rsidRPr="00335653" w:rsidRDefault="00AE03B4" w:rsidP="00AE03B4">
            <w:pPr>
              <w:rPr>
                <w:rFonts w:cs="Arial"/>
                <w:color w:val="000000"/>
                <w:szCs w:val="24"/>
              </w:rPr>
            </w:pPr>
          </w:p>
          <w:p w:rsidR="00AE03B4" w:rsidRPr="00335653" w:rsidRDefault="00AE03B4" w:rsidP="00AE03B4">
            <w:pPr>
              <w:rPr>
                <w:rFonts w:cs="Arial"/>
                <w:color w:val="000000"/>
                <w:szCs w:val="24"/>
              </w:rPr>
            </w:pPr>
            <w:r w:rsidRPr="00335653">
              <w:rPr>
                <w:rFonts w:cs="Arial"/>
                <w:color w:val="000000"/>
                <w:szCs w:val="24"/>
              </w:rPr>
              <w:t xml:space="preserve">The proposed introduction of a power to allow a judge to </w:t>
            </w:r>
            <w:r w:rsidR="00CB7BF2" w:rsidRPr="00335653">
              <w:rPr>
                <w:rFonts w:cs="Arial"/>
                <w:color w:val="000000"/>
                <w:szCs w:val="24"/>
              </w:rPr>
              <w:t xml:space="preserve">uphold a submission of no case to answer, and </w:t>
            </w:r>
            <w:r w:rsidRPr="00335653">
              <w:rPr>
                <w:rFonts w:cs="Arial"/>
                <w:color w:val="000000"/>
                <w:szCs w:val="24"/>
              </w:rPr>
              <w:t xml:space="preserve">withdraw a case from the jury if no reasonable jury could convict on the basis of the evidence before it, is a good procedural safeguard. It is a safeguard that addresses the quality of evidence, which in the absence of corroboration, is particularly important. </w:t>
            </w:r>
            <w:r w:rsidR="0069453E" w:rsidRPr="00335653">
              <w:rPr>
                <w:rFonts w:cs="Arial"/>
                <w:szCs w:val="24"/>
              </w:rPr>
              <w:t xml:space="preserve">The question of whether the particular evidence can bear the weight of a fair conviction is a matter of law, not one of fact. </w:t>
            </w:r>
            <w:r w:rsidRPr="00335653">
              <w:rPr>
                <w:rFonts w:cs="Arial"/>
                <w:color w:val="000000"/>
                <w:szCs w:val="24"/>
              </w:rPr>
              <w:t xml:space="preserve">Further, since the Appeal Court applies a “no reasonable jury” test in determining miscarriages of justice, it would seem to strengthen that safeguard if the same power is given to the trial judge who has had the benefit of seeing and hearing the whole of the case. </w:t>
            </w:r>
          </w:p>
          <w:p w:rsidR="00AE03B4" w:rsidRPr="00335653" w:rsidRDefault="00AE03B4" w:rsidP="00AE03B4">
            <w:pPr>
              <w:rPr>
                <w:rFonts w:cs="Arial"/>
                <w:color w:val="000000"/>
                <w:szCs w:val="24"/>
              </w:rPr>
            </w:pPr>
          </w:p>
          <w:p w:rsidR="0069453E" w:rsidRPr="00335653" w:rsidRDefault="00AE03B4" w:rsidP="004F554A">
            <w:pPr>
              <w:rPr>
                <w:rFonts w:cs="Arial"/>
                <w:szCs w:val="24"/>
              </w:rPr>
            </w:pPr>
            <w:r w:rsidRPr="00335653">
              <w:rPr>
                <w:rFonts w:cs="Arial"/>
                <w:color w:val="000000"/>
                <w:szCs w:val="24"/>
              </w:rPr>
              <w:t xml:space="preserve">It should be noted, however, that the introduction of a “no reasonable jury” test will not, of itself, guarantee a fair trial. In </w:t>
            </w:r>
            <w:r w:rsidRPr="00335653">
              <w:rPr>
                <w:rFonts w:cs="Arial"/>
                <w:i/>
                <w:color w:val="000000"/>
                <w:szCs w:val="24"/>
              </w:rPr>
              <w:t>Al-Khawaja &amp; Tahery</w:t>
            </w:r>
            <w:r w:rsidRPr="00335653">
              <w:rPr>
                <w:rFonts w:cs="Arial"/>
                <w:color w:val="000000"/>
                <w:szCs w:val="24"/>
              </w:rPr>
              <w:t>, in respect of Mr Tahery, the ECtHR considered that the English system (which includes an analogous power) did not prevent the trial from being unfair. The Court stated, “The absence of any strong corroborative evidence in the case meant the jury in this case were unable to conduct a fair and proper assessment of the reliability of T’s evidence [which was admitted through the statutory provisions allowing exceptions to hearsay]. Examining the fairness of the proceedings as a whole, the Court concludes that there were not sufficient counterbalancing factors to compensate for the difficulties to the defence which resulted from the admission of T’s statement.”</w:t>
            </w:r>
            <w:r w:rsidRPr="00335653">
              <w:rPr>
                <w:rStyle w:val="FootnoteReference"/>
                <w:rFonts w:cs="Arial"/>
                <w:color w:val="000000"/>
                <w:szCs w:val="24"/>
              </w:rPr>
              <w:footnoteReference w:id="15"/>
            </w:r>
          </w:p>
          <w:p w:rsidR="000E2A92" w:rsidRPr="00335653" w:rsidRDefault="000E2A92">
            <w:pPr>
              <w:jc w:val="left"/>
              <w:rPr>
                <w:rFonts w:cs="Arial"/>
                <w:szCs w:val="24"/>
              </w:rPr>
            </w:pPr>
          </w:p>
        </w:tc>
      </w:tr>
    </w:tbl>
    <w:p w:rsidR="000E2A92" w:rsidRPr="00335653" w:rsidRDefault="000E2A92" w:rsidP="009232EF">
      <w:pPr>
        <w:jc w:val="left"/>
        <w:rPr>
          <w:rFonts w:cs="Arial"/>
          <w:b/>
          <w:szCs w:val="24"/>
          <w:u w:val="single"/>
        </w:rPr>
      </w:pPr>
    </w:p>
    <w:p w:rsidR="000E2A92" w:rsidRPr="00335653" w:rsidRDefault="000E2A92" w:rsidP="000E2A92">
      <w:pPr>
        <w:rPr>
          <w:rFonts w:cs="Arial"/>
          <w:b/>
          <w:szCs w:val="24"/>
        </w:rPr>
      </w:pPr>
      <w:r w:rsidRPr="00335653">
        <w:rPr>
          <w:rFonts w:cs="Arial"/>
          <w:b/>
          <w:szCs w:val="24"/>
        </w:rPr>
        <w:t>Question 7B) – Should the accused be allowed to make a no case to answer submission at the close of the whole of the evidence?</w:t>
      </w:r>
    </w:p>
    <w:p w:rsidR="000E2A92" w:rsidRPr="00335653" w:rsidRDefault="000E2A92" w:rsidP="000E2A92">
      <w:pPr>
        <w:rPr>
          <w:rFonts w:cs="Arial"/>
          <w:b/>
          <w:szCs w:val="24"/>
        </w:rPr>
      </w:pPr>
    </w:p>
    <w:p w:rsidR="000E2A92" w:rsidRPr="00335653" w:rsidRDefault="000E2A92" w:rsidP="000E2A92">
      <w:pPr>
        <w:jc w:val="left"/>
        <w:rPr>
          <w:rFonts w:cs="Arial"/>
          <w:szCs w:val="24"/>
        </w:rPr>
      </w:pPr>
      <w:r w:rsidRPr="00335653">
        <w:rPr>
          <w:rFonts w:cs="Arial"/>
          <w:szCs w:val="24"/>
        </w:rPr>
        <w:t xml:space="preserve">Yes  </w:t>
      </w:r>
      <w:r w:rsidR="004F554A" w:rsidRPr="00335653">
        <w:rPr>
          <w:rFonts w:cs="Arial"/>
          <w:szCs w:val="24"/>
        </w:rPr>
        <w:fldChar w:fldCharType="begin">
          <w:ffData>
            <w:name w:val=""/>
            <w:enabled/>
            <w:calcOnExit w:val="0"/>
            <w:checkBox>
              <w:sizeAuto/>
              <w:default w:val="1"/>
            </w:checkBox>
          </w:ffData>
        </w:fldChar>
      </w:r>
      <w:r w:rsidR="004F554A" w:rsidRPr="00335653">
        <w:rPr>
          <w:rFonts w:cs="Arial"/>
          <w:szCs w:val="24"/>
        </w:rPr>
        <w:instrText xml:space="preserve"> FORMCHECKBOX </w:instrText>
      </w:r>
      <w:r w:rsidR="004F554A" w:rsidRPr="00335653">
        <w:rPr>
          <w:rFonts w:cs="Arial"/>
          <w:szCs w:val="24"/>
        </w:rPr>
      </w:r>
      <w:r w:rsidR="004F554A" w:rsidRPr="00335653">
        <w:rPr>
          <w:rFonts w:cs="Arial"/>
          <w:szCs w:val="24"/>
        </w:rPr>
        <w:fldChar w:fldCharType="end"/>
      </w:r>
      <w:r w:rsidRPr="00335653">
        <w:rPr>
          <w:rFonts w:cs="Arial"/>
          <w:szCs w:val="24"/>
        </w:rPr>
        <w:t xml:space="preserve">  No  </w:t>
      </w:r>
      <w:r w:rsidRPr="00335653">
        <w:rPr>
          <w:rFonts w:cs="Arial"/>
          <w:szCs w:val="24"/>
        </w:rPr>
        <w:fldChar w:fldCharType="begin">
          <w:ffData>
            <w:name w:val="Check2"/>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p>
    <w:p w:rsidR="000E2A92" w:rsidRPr="00335653" w:rsidRDefault="000E2A92" w:rsidP="000E2A92">
      <w:pPr>
        <w:rPr>
          <w:rFonts w:cs="Arial"/>
          <w:i/>
          <w:szCs w:val="24"/>
        </w:rPr>
      </w:pPr>
    </w:p>
    <w:p w:rsidR="000E2A92" w:rsidRPr="00335653" w:rsidRDefault="000E2A92" w:rsidP="000E2A92">
      <w:pPr>
        <w:rPr>
          <w:rFonts w:cs="Arial"/>
          <w:i/>
          <w:szCs w:val="24"/>
        </w:rPr>
      </w:pPr>
      <w:r w:rsidRPr="00335653">
        <w:rPr>
          <w:rFonts w:cs="Arial"/>
          <w:i/>
          <w:szCs w:val="24"/>
        </w:rPr>
        <w:t>Please feel free to provide any additional comments to support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E2A92" w:rsidRPr="00335653" w:rsidTr="000E2A92">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CB7BF2" w:rsidRPr="00335653" w:rsidRDefault="00CB7BF2">
            <w:pPr>
              <w:jc w:val="left"/>
              <w:rPr>
                <w:rFonts w:cs="Arial"/>
                <w:szCs w:val="24"/>
              </w:rPr>
            </w:pPr>
            <w:r w:rsidRPr="00335653">
              <w:rPr>
                <w:rFonts w:cs="Arial"/>
                <w:szCs w:val="24"/>
              </w:rPr>
              <w:t xml:space="preserve">As set out above, the </w:t>
            </w:r>
            <w:r w:rsidR="00334E18" w:rsidRPr="00335653">
              <w:rPr>
                <w:rFonts w:cs="Arial"/>
                <w:szCs w:val="24"/>
              </w:rPr>
              <w:t>c</w:t>
            </w:r>
            <w:r w:rsidRPr="00335653">
              <w:rPr>
                <w:rFonts w:cs="Arial"/>
                <w:szCs w:val="24"/>
              </w:rPr>
              <w:t xml:space="preserve">ourt must be in a position, as a matter of domestic law, to ensure the trial is fair and meets the requirements of Article 6. </w:t>
            </w:r>
            <w:r w:rsidR="00DD4F94" w:rsidRPr="00335653">
              <w:rPr>
                <w:rFonts w:cs="Arial"/>
                <w:szCs w:val="24"/>
              </w:rPr>
              <w:t>At the close of prosecution case, the submission assists in reflecting the presumption of innocence and the obligation on the State only to require its citizens to answers a sufficient case (i.e. a case which could result in a reasonable conviction).</w:t>
            </w:r>
          </w:p>
          <w:p w:rsidR="00CB7BF2" w:rsidRPr="00335653" w:rsidRDefault="00CB7BF2">
            <w:pPr>
              <w:jc w:val="left"/>
              <w:rPr>
                <w:rFonts w:cs="Arial"/>
                <w:szCs w:val="24"/>
              </w:rPr>
            </w:pPr>
          </w:p>
          <w:p w:rsidR="0069453E" w:rsidRPr="00335653" w:rsidRDefault="00CB7BF2">
            <w:pPr>
              <w:jc w:val="left"/>
              <w:rPr>
                <w:rFonts w:cs="Arial"/>
                <w:szCs w:val="24"/>
              </w:rPr>
            </w:pPr>
            <w:r w:rsidRPr="00335653">
              <w:rPr>
                <w:rFonts w:cs="Arial"/>
                <w:szCs w:val="24"/>
              </w:rPr>
              <w:t xml:space="preserve">Providing the opportunity to consider a submission of no case to answer at </w:t>
            </w:r>
            <w:r w:rsidRPr="00335653">
              <w:rPr>
                <w:rFonts w:cs="Arial"/>
                <w:szCs w:val="24"/>
              </w:rPr>
              <w:lastRenderedPageBreak/>
              <w:t xml:space="preserve">the close of the whole evidence as well as at the close of the prosecution case would </w:t>
            </w:r>
            <w:r w:rsidR="00A82E32" w:rsidRPr="00335653">
              <w:rPr>
                <w:rFonts w:cs="Arial"/>
                <w:szCs w:val="24"/>
              </w:rPr>
              <w:t>provide an additional safeguard.</w:t>
            </w:r>
            <w:r w:rsidR="00A2720C" w:rsidRPr="00335653">
              <w:rPr>
                <w:rFonts w:cs="Arial"/>
                <w:szCs w:val="24"/>
              </w:rPr>
              <w:t xml:space="preserve"> It allows the judge to assess the totality of evidence to consider whether there remains a proper evidential basis on which an accused could reasonably be convicted. The Academic report highlights the rare instances in which such a power would be important.</w:t>
            </w:r>
          </w:p>
          <w:p w:rsidR="000E2A92" w:rsidRPr="00335653" w:rsidRDefault="000E2A92">
            <w:pPr>
              <w:jc w:val="left"/>
              <w:rPr>
                <w:rFonts w:cs="Arial"/>
                <w:szCs w:val="24"/>
              </w:rPr>
            </w:pPr>
          </w:p>
        </w:tc>
      </w:tr>
    </w:tbl>
    <w:p w:rsidR="005F7BFA" w:rsidRPr="00335653" w:rsidRDefault="005F7BFA" w:rsidP="009232EF">
      <w:pPr>
        <w:jc w:val="left"/>
        <w:rPr>
          <w:rFonts w:cs="Arial"/>
          <w:b/>
          <w:szCs w:val="24"/>
          <w:u w:val="single"/>
        </w:rPr>
      </w:pPr>
    </w:p>
    <w:p w:rsidR="000E2A92" w:rsidRPr="00335653" w:rsidRDefault="000E2A92" w:rsidP="009232EF">
      <w:pPr>
        <w:jc w:val="left"/>
        <w:rPr>
          <w:rFonts w:cs="Arial"/>
          <w:b/>
          <w:szCs w:val="24"/>
          <w:u w:val="single"/>
        </w:rPr>
      </w:pPr>
      <w:r w:rsidRPr="00335653">
        <w:rPr>
          <w:rFonts w:cs="Arial"/>
          <w:b/>
          <w:szCs w:val="24"/>
          <w:u w:val="single"/>
        </w:rPr>
        <w:t>Question 8</w:t>
      </w:r>
    </w:p>
    <w:p w:rsidR="000E2A92" w:rsidRPr="00335653" w:rsidRDefault="000E2A92" w:rsidP="009232EF">
      <w:pPr>
        <w:jc w:val="left"/>
        <w:rPr>
          <w:rFonts w:cs="Arial"/>
          <w:b/>
          <w:szCs w:val="24"/>
          <w:u w:val="single"/>
        </w:rPr>
      </w:pPr>
    </w:p>
    <w:p w:rsidR="000E2A92" w:rsidRPr="00335653" w:rsidRDefault="000E2A92" w:rsidP="000E2A92">
      <w:pPr>
        <w:rPr>
          <w:rFonts w:cs="Arial"/>
          <w:b/>
          <w:szCs w:val="24"/>
        </w:rPr>
      </w:pPr>
      <w:r w:rsidRPr="00335653">
        <w:rPr>
          <w:rFonts w:cs="Arial"/>
          <w:b/>
          <w:szCs w:val="24"/>
        </w:rPr>
        <w:t>Jury Size, Majorities and Verdicts (Report of the Academic Expert Group - Chapter 13)</w:t>
      </w:r>
    </w:p>
    <w:p w:rsidR="000E2A92" w:rsidRPr="00335653" w:rsidRDefault="000E2A92" w:rsidP="009232EF">
      <w:pPr>
        <w:jc w:val="left"/>
        <w:rPr>
          <w:rFonts w:cs="Arial"/>
          <w:b/>
          <w:szCs w:val="24"/>
          <w:u w:val="single"/>
        </w:rPr>
      </w:pPr>
    </w:p>
    <w:p w:rsidR="000E2A92" w:rsidRPr="00335653" w:rsidRDefault="000E2A92" w:rsidP="000E2A92">
      <w:pPr>
        <w:rPr>
          <w:rFonts w:cs="Arial"/>
          <w:b/>
          <w:szCs w:val="24"/>
        </w:rPr>
      </w:pPr>
      <w:r w:rsidRPr="00335653">
        <w:rPr>
          <w:rFonts w:cs="Arial"/>
          <w:b/>
          <w:szCs w:val="24"/>
        </w:rPr>
        <w:t>Question 8A) – Should a jury be required to strive to achieve a unanimous verdict or is a verdict by a weighted majority acceptable?</w:t>
      </w:r>
    </w:p>
    <w:p w:rsidR="000E2A92" w:rsidRPr="00335653" w:rsidRDefault="000E2A92" w:rsidP="000E2A92">
      <w:pPr>
        <w:rPr>
          <w:rFonts w:cs="Arial"/>
          <w:b/>
          <w:szCs w:val="24"/>
        </w:rPr>
      </w:pPr>
    </w:p>
    <w:p w:rsidR="000E2A92" w:rsidRPr="00335653" w:rsidRDefault="000E2A92" w:rsidP="000E2A92">
      <w:pPr>
        <w:jc w:val="left"/>
        <w:rPr>
          <w:rFonts w:cs="Arial"/>
          <w:szCs w:val="24"/>
        </w:rPr>
      </w:pPr>
      <w:r w:rsidRPr="00335653">
        <w:rPr>
          <w:rFonts w:cs="Arial"/>
          <w:szCs w:val="24"/>
        </w:rPr>
        <w:t xml:space="preserve">Unanimous verdict  </w:t>
      </w:r>
      <w:r w:rsidRPr="00335653">
        <w:rPr>
          <w:rFonts w:cs="Arial"/>
          <w:szCs w:val="24"/>
        </w:rPr>
        <w:fldChar w:fldCharType="begin">
          <w:ffData>
            <w:name w:val="Check1"/>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r w:rsidRPr="00335653">
        <w:rPr>
          <w:rFonts w:cs="Arial"/>
          <w:szCs w:val="24"/>
        </w:rPr>
        <w:t xml:space="preserve">    Verdict by weighted majority  </w:t>
      </w:r>
      <w:r w:rsidRPr="00335653">
        <w:rPr>
          <w:rFonts w:cs="Arial"/>
          <w:szCs w:val="24"/>
        </w:rPr>
        <w:fldChar w:fldCharType="begin">
          <w:ffData>
            <w:name w:val="Check2"/>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p>
    <w:p w:rsidR="000E2A92" w:rsidRPr="00335653" w:rsidRDefault="000E2A92" w:rsidP="000E2A92">
      <w:pPr>
        <w:rPr>
          <w:rFonts w:cs="Arial"/>
          <w:i/>
          <w:szCs w:val="24"/>
        </w:rPr>
      </w:pPr>
    </w:p>
    <w:p w:rsidR="000E2A92" w:rsidRPr="00335653" w:rsidRDefault="000E2A92" w:rsidP="000E2A92">
      <w:pPr>
        <w:rPr>
          <w:rFonts w:cs="Arial"/>
          <w:i/>
          <w:szCs w:val="24"/>
        </w:rPr>
      </w:pPr>
      <w:r w:rsidRPr="00335653">
        <w:rPr>
          <w:rFonts w:cs="Arial"/>
          <w:i/>
          <w:szCs w:val="24"/>
        </w:rPr>
        <w:t>Please feel free to provide any additional comments to support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E2A92" w:rsidRPr="00335653" w:rsidTr="000E2A92">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6852BB" w:rsidRPr="00335653" w:rsidRDefault="006852BB" w:rsidP="00334E18">
            <w:pPr>
              <w:jc w:val="left"/>
              <w:rPr>
                <w:rFonts w:cs="Arial"/>
                <w:szCs w:val="24"/>
              </w:rPr>
            </w:pPr>
            <w:r w:rsidRPr="00335653">
              <w:rPr>
                <w:rFonts w:cs="Arial"/>
                <w:szCs w:val="24"/>
              </w:rPr>
              <w:t>The Commission notes the broad evidence contained in the Report of the Academic Expert Group. In particular, the Commission notes that most comparable jurisdictions do allow for situation of “rogue” or intimidated  juror(s).</w:t>
            </w:r>
          </w:p>
          <w:p w:rsidR="006852BB" w:rsidRPr="00335653" w:rsidRDefault="006852BB" w:rsidP="00334E18">
            <w:pPr>
              <w:jc w:val="left"/>
              <w:rPr>
                <w:rFonts w:cs="Arial"/>
                <w:szCs w:val="24"/>
              </w:rPr>
            </w:pPr>
          </w:p>
          <w:p w:rsidR="00A2720C" w:rsidRPr="00335653" w:rsidRDefault="00A2720C" w:rsidP="00A2720C">
            <w:pPr>
              <w:rPr>
                <w:rFonts w:cs="Arial"/>
                <w:szCs w:val="24"/>
              </w:rPr>
            </w:pPr>
            <w:r w:rsidRPr="00335653">
              <w:rPr>
                <w:rFonts w:cs="Arial"/>
                <w:szCs w:val="24"/>
              </w:rPr>
              <w:t>The Commission notes that the quest for unanimity may encourage greater deliberation and therefore enhance the prospects of a properly reasoned verdict.</w:t>
            </w:r>
          </w:p>
          <w:p w:rsidR="00A2720C" w:rsidRPr="00335653" w:rsidRDefault="00A2720C" w:rsidP="00A2720C">
            <w:pPr>
              <w:rPr>
                <w:rFonts w:cs="Arial"/>
                <w:szCs w:val="24"/>
              </w:rPr>
            </w:pPr>
          </w:p>
          <w:p w:rsidR="00B929A7" w:rsidRPr="00335653" w:rsidRDefault="00B929A7" w:rsidP="00B929A7">
            <w:pPr>
              <w:jc w:val="left"/>
              <w:rPr>
                <w:rFonts w:cs="Arial"/>
                <w:szCs w:val="24"/>
              </w:rPr>
            </w:pPr>
            <w:r w:rsidRPr="00335653">
              <w:rPr>
                <w:rFonts w:cs="Arial"/>
                <w:szCs w:val="24"/>
              </w:rPr>
              <w:t xml:space="preserve">The requirement for a unanimous verdict or a greater majority for a guilty verdict by its nature provides a stronger procedural safeguard in terms of a fair trial as protected by Article 6 of ECHR. However, requiring the same for an acquittal does not in any way operate to safeguard a fair trial. </w:t>
            </w:r>
          </w:p>
          <w:p w:rsidR="00A2720C" w:rsidRPr="00335653" w:rsidRDefault="00A2720C" w:rsidP="006852BB">
            <w:pPr>
              <w:jc w:val="left"/>
              <w:rPr>
                <w:rFonts w:cs="Arial"/>
                <w:szCs w:val="24"/>
              </w:rPr>
            </w:pPr>
          </w:p>
        </w:tc>
      </w:tr>
    </w:tbl>
    <w:p w:rsidR="000E2A92" w:rsidRPr="00335653" w:rsidRDefault="000E2A92" w:rsidP="000E2A92">
      <w:pPr>
        <w:rPr>
          <w:rFonts w:cs="Arial"/>
          <w:b/>
          <w:szCs w:val="24"/>
        </w:rPr>
      </w:pPr>
    </w:p>
    <w:p w:rsidR="000E2A92" w:rsidRPr="00335653" w:rsidRDefault="000E2A92" w:rsidP="000E2A92">
      <w:pPr>
        <w:rPr>
          <w:rFonts w:cs="Arial"/>
          <w:szCs w:val="24"/>
        </w:rPr>
      </w:pPr>
      <w:r w:rsidRPr="00335653">
        <w:rPr>
          <w:rFonts w:cs="Arial"/>
          <w:szCs w:val="24"/>
        </w:rPr>
        <w:t xml:space="preserve">  </w:t>
      </w:r>
    </w:p>
    <w:p w:rsidR="000E2A92" w:rsidRPr="00335653" w:rsidRDefault="000E2A92" w:rsidP="000E2A92">
      <w:pPr>
        <w:rPr>
          <w:rFonts w:cs="Arial"/>
          <w:b/>
          <w:szCs w:val="24"/>
        </w:rPr>
      </w:pPr>
      <w:r w:rsidRPr="00335653">
        <w:rPr>
          <w:rFonts w:cs="Arial"/>
          <w:b/>
          <w:szCs w:val="24"/>
        </w:rPr>
        <w:t xml:space="preserve">Question 8B) - If you answered “unanimous verdict” to question 8A, what do you think the qualified majority should be, should the jury be unable to reach a unanimous verdict?  </w:t>
      </w:r>
    </w:p>
    <w:p w:rsidR="000E2A92" w:rsidRPr="00335653" w:rsidRDefault="000E2A92" w:rsidP="000E2A92">
      <w:pPr>
        <w:rPr>
          <w:rFonts w:cs="Arial"/>
          <w:szCs w:val="24"/>
        </w:rPr>
      </w:pPr>
    </w:p>
    <w:p w:rsidR="000E2A92" w:rsidRPr="00335653" w:rsidRDefault="000E2A92" w:rsidP="000E2A92">
      <w:pPr>
        <w:rPr>
          <w:rFonts w:cs="Arial"/>
          <w:b/>
          <w:szCs w:val="24"/>
        </w:rPr>
      </w:pPr>
      <w:r w:rsidRPr="00335653">
        <w:rPr>
          <w:rFonts w:cs="Arial"/>
          <w:szCs w:val="24"/>
        </w:rPr>
        <w:t xml:space="preserve">-1 less than the total number of jurors </w:t>
      </w:r>
      <w:r w:rsidRPr="00335653">
        <w:rPr>
          <w:rFonts w:cs="Arial"/>
          <w:szCs w:val="24"/>
        </w:rPr>
        <w:fldChar w:fldCharType="begin">
          <w:ffData>
            <w:name w:val="Check2"/>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p>
    <w:p w:rsidR="000E2A92" w:rsidRPr="00335653" w:rsidRDefault="000E2A92" w:rsidP="000E2A92">
      <w:pPr>
        <w:rPr>
          <w:rFonts w:cs="Arial"/>
          <w:szCs w:val="24"/>
        </w:rPr>
      </w:pPr>
    </w:p>
    <w:p w:rsidR="000E2A92" w:rsidRPr="00335653" w:rsidRDefault="000E2A92" w:rsidP="000E2A92">
      <w:pPr>
        <w:rPr>
          <w:rFonts w:cs="Arial"/>
          <w:szCs w:val="24"/>
        </w:rPr>
      </w:pPr>
      <w:r w:rsidRPr="00335653">
        <w:rPr>
          <w:rFonts w:cs="Arial"/>
          <w:szCs w:val="24"/>
        </w:rPr>
        <w:t xml:space="preserve">-2 less than the total number of jurors </w:t>
      </w:r>
      <w:r w:rsidRPr="00335653">
        <w:rPr>
          <w:rFonts w:cs="Arial"/>
          <w:szCs w:val="24"/>
        </w:rPr>
        <w:fldChar w:fldCharType="begin">
          <w:ffData>
            <w:name w:val="Check2"/>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p>
    <w:p w:rsidR="000E2A92" w:rsidRPr="00335653" w:rsidRDefault="000E2A92" w:rsidP="000E2A92">
      <w:pPr>
        <w:rPr>
          <w:rFonts w:cs="Arial"/>
          <w:szCs w:val="24"/>
        </w:rPr>
      </w:pPr>
    </w:p>
    <w:p w:rsidR="000E2A92" w:rsidRPr="00335653" w:rsidRDefault="000E2A92" w:rsidP="000E2A92">
      <w:pPr>
        <w:rPr>
          <w:rFonts w:cs="Arial"/>
          <w:szCs w:val="24"/>
        </w:rPr>
      </w:pPr>
      <w:r w:rsidRPr="00335653">
        <w:rPr>
          <w:rFonts w:cs="Arial"/>
          <w:szCs w:val="24"/>
        </w:rPr>
        <w:t xml:space="preserve">Other </w:t>
      </w:r>
      <w:r w:rsidRPr="00335653">
        <w:rPr>
          <w:rFonts w:cs="Arial"/>
          <w:szCs w:val="24"/>
        </w:rPr>
        <w:fldChar w:fldCharType="begin">
          <w:ffData>
            <w:name w:val="Check2"/>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p>
    <w:p w:rsidR="000E2A92" w:rsidRPr="00335653" w:rsidRDefault="000E2A92" w:rsidP="000E2A92">
      <w:pPr>
        <w:rPr>
          <w:rFonts w:cs="Arial"/>
          <w:szCs w:val="24"/>
        </w:rPr>
      </w:pPr>
    </w:p>
    <w:p w:rsidR="000E2A92" w:rsidRPr="00335653" w:rsidRDefault="000E2A92" w:rsidP="000E2A92">
      <w:pPr>
        <w:rPr>
          <w:rFonts w:cs="Arial"/>
          <w:i/>
          <w:szCs w:val="24"/>
        </w:rPr>
      </w:pPr>
      <w:r w:rsidRPr="00335653">
        <w:rPr>
          <w:rFonts w:cs="Arial"/>
          <w:i/>
          <w:szCs w:val="24"/>
        </w:rPr>
        <w:t>Please feel free to provide any additional comments to support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E2A92" w:rsidRPr="00335653" w:rsidTr="000E2A92">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0E2A92" w:rsidRPr="00335653" w:rsidRDefault="000E2A92" w:rsidP="00335653">
            <w:pPr>
              <w:jc w:val="left"/>
              <w:rPr>
                <w:rFonts w:cs="Arial"/>
                <w:szCs w:val="24"/>
              </w:rPr>
            </w:pPr>
          </w:p>
        </w:tc>
      </w:tr>
    </w:tbl>
    <w:p w:rsidR="000E2A92" w:rsidRPr="00335653" w:rsidRDefault="000E2A92" w:rsidP="000E2A92">
      <w:pPr>
        <w:rPr>
          <w:rFonts w:cs="Arial"/>
          <w:szCs w:val="24"/>
        </w:rPr>
      </w:pPr>
    </w:p>
    <w:p w:rsidR="000E2A92" w:rsidRPr="00335653" w:rsidRDefault="000E2A92" w:rsidP="000E2A92">
      <w:pPr>
        <w:rPr>
          <w:rFonts w:cs="Arial"/>
          <w:b/>
          <w:szCs w:val="24"/>
        </w:rPr>
      </w:pPr>
    </w:p>
    <w:p w:rsidR="000E2A92" w:rsidRPr="00335653" w:rsidRDefault="000E2A92" w:rsidP="000E2A92">
      <w:pPr>
        <w:rPr>
          <w:rFonts w:cs="Arial"/>
          <w:b/>
          <w:szCs w:val="24"/>
        </w:rPr>
      </w:pPr>
      <w:r w:rsidRPr="00335653">
        <w:rPr>
          <w:rFonts w:cs="Arial"/>
          <w:b/>
          <w:szCs w:val="24"/>
        </w:rPr>
        <w:lastRenderedPageBreak/>
        <w:t>Question 8C) – if you answered “weighted majority” to question 8A, what do you think that weighted majority should be?</w:t>
      </w:r>
    </w:p>
    <w:p w:rsidR="000E2A92" w:rsidRPr="00335653" w:rsidRDefault="000E2A92" w:rsidP="000E2A92">
      <w:pPr>
        <w:rPr>
          <w:rFonts w:cs="Arial"/>
          <w:szCs w:val="24"/>
        </w:rPr>
      </w:pPr>
    </w:p>
    <w:p w:rsidR="000E2A92" w:rsidRPr="00335653" w:rsidRDefault="000E2A92" w:rsidP="000E2A92">
      <w:pPr>
        <w:rPr>
          <w:rFonts w:cs="Arial"/>
          <w:szCs w:val="24"/>
        </w:rPr>
      </w:pPr>
      <w:r w:rsidRPr="00335653">
        <w:rPr>
          <w:rFonts w:cs="Arial"/>
          <w:szCs w:val="24"/>
        </w:rPr>
        <w:t xml:space="preserve">Two thirds (2/3) of the jury </w:t>
      </w:r>
      <w:r w:rsidRPr="00335653">
        <w:rPr>
          <w:rFonts w:cs="Arial"/>
          <w:szCs w:val="24"/>
        </w:rPr>
        <w:fldChar w:fldCharType="begin">
          <w:ffData>
            <w:name w:val="Check2"/>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p>
    <w:p w:rsidR="000E2A92" w:rsidRPr="00335653" w:rsidRDefault="000E2A92" w:rsidP="000E2A92">
      <w:pPr>
        <w:rPr>
          <w:rFonts w:cs="Arial"/>
          <w:szCs w:val="24"/>
        </w:rPr>
      </w:pPr>
    </w:p>
    <w:p w:rsidR="000E2A92" w:rsidRPr="00335653" w:rsidRDefault="000E2A92" w:rsidP="000E2A92">
      <w:pPr>
        <w:rPr>
          <w:rFonts w:cs="Arial"/>
          <w:szCs w:val="24"/>
        </w:rPr>
      </w:pPr>
      <w:r w:rsidRPr="00335653">
        <w:rPr>
          <w:rFonts w:cs="Arial"/>
          <w:szCs w:val="24"/>
        </w:rPr>
        <w:t xml:space="preserve">Three quarters (3/4) of the jury </w:t>
      </w:r>
      <w:r w:rsidRPr="00335653">
        <w:rPr>
          <w:rFonts w:cs="Arial"/>
          <w:szCs w:val="24"/>
        </w:rPr>
        <w:fldChar w:fldCharType="begin">
          <w:ffData>
            <w:name w:val="Check2"/>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p>
    <w:p w:rsidR="000E2A92" w:rsidRPr="00335653" w:rsidRDefault="000E2A92" w:rsidP="000E2A92">
      <w:pPr>
        <w:rPr>
          <w:rFonts w:cs="Arial"/>
          <w:szCs w:val="24"/>
        </w:rPr>
      </w:pPr>
    </w:p>
    <w:p w:rsidR="000E2A92" w:rsidRPr="00335653" w:rsidRDefault="000E2A92" w:rsidP="000E2A92">
      <w:pPr>
        <w:rPr>
          <w:rFonts w:cs="Arial"/>
          <w:szCs w:val="24"/>
        </w:rPr>
      </w:pPr>
      <w:r w:rsidRPr="00335653">
        <w:rPr>
          <w:rFonts w:cs="Arial"/>
          <w:szCs w:val="24"/>
        </w:rPr>
        <w:t xml:space="preserve">Other </w:t>
      </w:r>
      <w:r w:rsidRPr="00335653">
        <w:rPr>
          <w:rFonts w:cs="Arial"/>
          <w:szCs w:val="24"/>
        </w:rPr>
        <w:fldChar w:fldCharType="begin">
          <w:ffData>
            <w:name w:val="Check2"/>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p>
    <w:p w:rsidR="000E2A92" w:rsidRPr="00335653" w:rsidRDefault="000E2A92" w:rsidP="000E2A92">
      <w:pPr>
        <w:rPr>
          <w:rFonts w:cs="Arial"/>
          <w:szCs w:val="24"/>
        </w:rPr>
      </w:pPr>
    </w:p>
    <w:p w:rsidR="000E2A92" w:rsidRPr="00335653" w:rsidRDefault="000E2A92" w:rsidP="000E2A92">
      <w:pPr>
        <w:rPr>
          <w:rFonts w:cs="Arial"/>
          <w:i/>
          <w:szCs w:val="24"/>
        </w:rPr>
      </w:pPr>
      <w:r w:rsidRPr="00335653">
        <w:rPr>
          <w:rFonts w:cs="Arial"/>
          <w:i/>
          <w:szCs w:val="24"/>
        </w:rPr>
        <w:t>Please feel free to provide any additional comments to support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E2A92" w:rsidRPr="00335653" w:rsidTr="000E2A92">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0E2A92" w:rsidRPr="00335653" w:rsidRDefault="000E2A92">
            <w:pPr>
              <w:jc w:val="left"/>
              <w:rPr>
                <w:rFonts w:cs="Arial"/>
                <w:szCs w:val="24"/>
              </w:rPr>
            </w:pPr>
          </w:p>
        </w:tc>
      </w:tr>
    </w:tbl>
    <w:p w:rsidR="000E2A92" w:rsidRPr="00335653" w:rsidRDefault="000E2A92" w:rsidP="009232EF">
      <w:pPr>
        <w:jc w:val="left"/>
        <w:rPr>
          <w:rFonts w:cs="Arial"/>
          <w:b/>
          <w:szCs w:val="24"/>
          <w:u w:val="single"/>
        </w:rPr>
      </w:pPr>
    </w:p>
    <w:p w:rsidR="000E2A92" w:rsidRPr="00335653" w:rsidRDefault="000E2A92" w:rsidP="000E2A92">
      <w:pPr>
        <w:rPr>
          <w:rFonts w:cs="Arial"/>
          <w:b/>
          <w:szCs w:val="24"/>
        </w:rPr>
      </w:pPr>
      <w:r w:rsidRPr="00335653">
        <w:rPr>
          <w:rFonts w:cs="Arial"/>
          <w:b/>
          <w:szCs w:val="24"/>
        </w:rPr>
        <w:t>Question 8D) - Should the same number of jurors as is required for a guilty verdict also be required for an acquittal verdict?</w:t>
      </w:r>
    </w:p>
    <w:p w:rsidR="000E2A92" w:rsidRPr="00335653" w:rsidRDefault="000E2A92" w:rsidP="000E2A92">
      <w:pPr>
        <w:rPr>
          <w:rFonts w:cs="Arial"/>
          <w:szCs w:val="24"/>
        </w:rPr>
      </w:pPr>
    </w:p>
    <w:p w:rsidR="000E2A92" w:rsidRPr="00335653" w:rsidRDefault="000E2A92" w:rsidP="000E2A92">
      <w:pPr>
        <w:rPr>
          <w:rFonts w:cs="Arial"/>
          <w:szCs w:val="24"/>
        </w:rPr>
      </w:pPr>
      <w:r w:rsidRPr="00335653">
        <w:rPr>
          <w:rFonts w:cs="Arial"/>
          <w:szCs w:val="24"/>
        </w:rPr>
        <w:t xml:space="preserve">Yes </w:t>
      </w:r>
      <w:r w:rsidRPr="00335653">
        <w:rPr>
          <w:rFonts w:cs="Arial"/>
          <w:szCs w:val="24"/>
        </w:rPr>
        <w:fldChar w:fldCharType="begin">
          <w:ffData>
            <w:name w:val="Check2"/>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p>
    <w:p w:rsidR="000E2A92" w:rsidRPr="00335653" w:rsidRDefault="000E2A92" w:rsidP="000E2A92">
      <w:pPr>
        <w:rPr>
          <w:rFonts w:cs="Arial"/>
          <w:szCs w:val="24"/>
        </w:rPr>
      </w:pPr>
    </w:p>
    <w:p w:rsidR="000E2A92" w:rsidRPr="00335653" w:rsidRDefault="000E2A92" w:rsidP="000E2A92">
      <w:pPr>
        <w:rPr>
          <w:rFonts w:cs="Arial"/>
          <w:szCs w:val="24"/>
        </w:rPr>
      </w:pPr>
      <w:r w:rsidRPr="00335653">
        <w:rPr>
          <w:rFonts w:cs="Arial"/>
          <w:szCs w:val="24"/>
        </w:rPr>
        <w:t xml:space="preserve">No  </w:t>
      </w:r>
      <w:bookmarkStart w:id="3" w:name="Check2"/>
      <w:r w:rsidR="00A2720C" w:rsidRPr="00335653">
        <w:rPr>
          <w:rFonts w:cs="Arial"/>
          <w:szCs w:val="24"/>
        </w:rPr>
        <w:fldChar w:fldCharType="begin">
          <w:ffData>
            <w:name w:val="Check2"/>
            <w:enabled/>
            <w:calcOnExit w:val="0"/>
            <w:checkBox>
              <w:sizeAuto/>
              <w:default w:val="1"/>
            </w:checkBox>
          </w:ffData>
        </w:fldChar>
      </w:r>
      <w:r w:rsidR="00A2720C" w:rsidRPr="00335653">
        <w:rPr>
          <w:rFonts w:cs="Arial"/>
          <w:szCs w:val="24"/>
        </w:rPr>
        <w:instrText xml:space="preserve"> FORMCHECKBOX </w:instrText>
      </w:r>
      <w:r w:rsidR="00A2720C" w:rsidRPr="00335653">
        <w:rPr>
          <w:rFonts w:cs="Arial"/>
          <w:szCs w:val="24"/>
        </w:rPr>
      </w:r>
      <w:r w:rsidR="00A2720C" w:rsidRPr="00335653">
        <w:rPr>
          <w:rFonts w:cs="Arial"/>
          <w:szCs w:val="24"/>
        </w:rPr>
        <w:fldChar w:fldCharType="end"/>
      </w:r>
      <w:bookmarkEnd w:id="3"/>
    </w:p>
    <w:p w:rsidR="000E2A92" w:rsidRPr="00335653" w:rsidRDefault="000E2A92" w:rsidP="000E2A92">
      <w:pPr>
        <w:rPr>
          <w:rFonts w:cs="Arial"/>
          <w:szCs w:val="24"/>
        </w:rPr>
      </w:pPr>
    </w:p>
    <w:p w:rsidR="000E2A92" w:rsidRPr="00335653" w:rsidRDefault="000E2A92" w:rsidP="000E2A92">
      <w:pPr>
        <w:rPr>
          <w:rFonts w:cs="Arial"/>
          <w:i/>
          <w:szCs w:val="24"/>
        </w:rPr>
      </w:pPr>
      <w:r w:rsidRPr="00335653">
        <w:rPr>
          <w:rFonts w:cs="Arial"/>
          <w:i/>
          <w:szCs w:val="24"/>
        </w:rPr>
        <w:t>Please feel free to provide any additional comments to support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E2A92" w:rsidRPr="00335653" w:rsidTr="000E2A92">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A2720C" w:rsidRPr="00335653" w:rsidRDefault="00A2720C" w:rsidP="00A2720C">
            <w:pPr>
              <w:jc w:val="left"/>
              <w:rPr>
                <w:rFonts w:cs="Arial"/>
                <w:szCs w:val="24"/>
              </w:rPr>
            </w:pPr>
            <w:r w:rsidRPr="00335653">
              <w:rPr>
                <w:rFonts w:cs="Arial"/>
                <w:szCs w:val="24"/>
              </w:rPr>
              <w:t xml:space="preserve">The requirement for a unanimous verdict or a greater majority for a guilty verdict by its nature provides a stronger procedural safeguard in terms of a fair trial as protected by Article 6 of ECHR. However, requiring the same for an acquittal does not in any way operate to safeguard a fair trial. </w:t>
            </w:r>
          </w:p>
          <w:p w:rsidR="000E2A92" w:rsidRPr="00335653" w:rsidRDefault="000E2A92">
            <w:pPr>
              <w:jc w:val="left"/>
              <w:rPr>
                <w:rFonts w:cs="Arial"/>
                <w:szCs w:val="24"/>
              </w:rPr>
            </w:pPr>
          </w:p>
        </w:tc>
      </w:tr>
    </w:tbl>
    <w:p w:rsidR="000E2A92" w:rsidRPr="00335653" w:rsidRDefault="000E2A92" w:rsidP="009232EF">
      <w:pPr>
        <w:jc w:val="left"/>
        <w:rPr>
          <w:rFonts w:cs="Arial"/>
          <w:b/>
          <w:szCs w:val="24"/>
          <w:u w:val="single"/>
        </w:rPr>
      </w:pPr>
    </w:p>
    <w:p w:rsidR="000E2A92" w:rsidRPr="00335653" w:rsidRDefault="000E2A92" w:rsidP="000E2A92">
      <w:pPr>
        <w:rPr>
          <w:rFonts w:cs="Arial"/>
          <w:b/>
          <w:szCs w:val="24"/>
        </w:rPr>
      </w:pPr>
      <w:r w:rsidRPr="00335653">
        <w:rPr>
          <w:rFonts w:cs="Arial"/>
          <w:b/>
          <w:szCs w:val="24"/>
        </w:rPr>
        <w:t>Question 8E) - Do you agree that the size of a jury in Scotland should be reduced from 15 to 12 persons?</w:t>
      </w:r>
    </w:p>
    <w:p w:rsidR="000E2A92" w:rsidRPr="00335653" w:rsidRDefault="000E2A92" w:rsidP="000E2A92">
      <w:pPr>
        <w:rPr>
          <w:rFonts w:cs="Arial"/>
          <w:i/>
          <w:szCs w:val="24"/>
        </w:rPr>
      </w:pPr>
    </w:p>
    <w:p w:rsidR="000E2A92" w:rsidRPr="00335653" w:rsidRDefault="000E2A92" w:rsidP="000E2A92">
      <w:pPr>
        <w:jc w:val="left"/>
        <w:rPr>
          <w:rFonts w:cs="Arial"/>
          <w:szCs w:val="24"/>
        </w:rPr>
      </w:pPr>
      <w:r w:rsidRPr="00335653">
        <w:rPr>
          <w:rFonts w:cs="Arial"/>
          <w:szCs w:val="24"/>
        </w:rPr>
        <w:t xml:space="preserve">Yes  </w:t>
      </w:r>
      <w:r w:rsidRPr="00335653">
        <w:rPr>
          <w:rFonts w:cs="Arial"/>
          <w:szCs w:val="24"/>
        </w:rPr>
        <w:fldChar w:fldCharType="begin">
          <w:ffData>
            <w:name w:val="Check1"/>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r w:rsidRPr="00335653">
        <w:rPr>
          <w:rFonts w:cs="Arial"/>
          <w:szCs w:val="24"/>
        </w:rPr>
        <w:t xml:space="preserve">  No  </w:t>
      </w:r>
      <w:r w:rsidRPr="00335653">
        <w:rPr>
          <w:rFonts w:cs="Arial"/>
          <w:szCs w:val="24"/>
        </w:rPr>
        <w:fldChar w:fldCharType="begin">
          <w:ffData>
            <w:name w:val="Check2"/>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p>
    <w:p w:rsidR="000E2A92" w:rsidRPr="00335653" w:rsidRDefault="000E2A92" w:rsidP="000E2A92">
      <w:pPr>
        <w:rPr>
          <w:rFonts w:cs="Arial"/>
          <w:i/>
          <w:szCs w:val="24"/>
        </w:rPr>
      </w:pPr>
    </w:p>
    <w:p w:rsidR="000E2A92" w:rsidRPr="00335653" w:rsidRDefault="000E2A92" w:rsidP="000E2A92">
      <w:pPr>
        <w:rPr>
          <w:rFonts w:cs="Arial"/>
          <w:i/>
          <w:szCs w:val="24"/>
        </w:rPr>
      </w:pPr>
      <w:r w:rsidRPr="00335653">
        <w:rPr>
          <w:rFonts w:cs="Arial"/>
          <w:i/>
          <w:szCs w:val="24"/>
        </w:rPr>
        <w:t>Please feel free to provide any additional comments to support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E2A92" w:rsidRPr="00335653" w:rsidTr="000E2A92">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335653" w:rsidRDefault="00335653" w:rsidP="00B6081A">
            <w:pPr>
              <w:rPr>
                <w:rFonts w:cs="Arial"/>
                <w:szCs w:val="24"/>
              </w:rPr>
            </w:pPr>
            <w:r>
              <w:rPr>
                <w:rFonts w:cs="Arial"/>
                <w:szCs w:val="24"/>
              </w:rPr>
              <w:t>I</w:t>
            </w:r>
            <w:r w:rsidRPr="00335653">
              <w:rPr>
                <w:rFonts w:cs="Arial"/>
                <w:szCs w:val="24"/>
              </w:rPr>
              <w:t xml:space="preserve">n </w:t>
            </w:r>
            <w:r w:rsidRPr="00335653">
              <w:rPr>
                <w:rFonts w:cs="Arial"/>
                <w:i/>
                <w:color w:val="000000"/>
                <w:szCs w:val="24"/>
                <w:lang w:eastAsia="en-GB"/>
              </w:rPr>
              <w:t>Pullar v. The United Kingdom</w:t>
            </w:r>
            <w:r w:rsidRPr="00335653">
              <w:rPr>
                <w:rStyle w:val="FootnoteReference"/>
                <w:rFonts w:cs="Arial"/>
                <w:color w:val="000000"/>
                <w:szCs w:val="24"/>
                <w:lang w:eastAsia="en-GB"/>
              </w:rPr>
              <w:footnoteReference w:id="16"/>
            </w:r>
            <w:r w:rsidRPr="00335653">
              <w:rPr>
                <w:rFonts w:cs="Arial"/>
                <w:color w:val="000000"/>
                <w:szCs w:val="24"/>
                <w:lang w:eastAsia="en-GB"/>
              </w:rPr>
              <w:t xml:space="preserve"> the ECtHR referenced the fact that it was a significant safeguard that a potentially biased </w:t>
            </w:r>
            <w:r w:rsidRPr="00335653">
              <w:rPr>
                <w:rFonts w:cs="Arial"/>
                <w:szCs w:val="24"/>
              </w:rPr>
              <w:t>juror was only one of fifteen jurors, all of whom were selected at random from amongst the local population.</w:t>
            </w:r>
          </w:p>
          <w:p w:rsidR="00335653" w:rsidRDefault="00335653" w:rsidP="00B6081A">
            <w:pPr>
              <w:rPr>
                <w:rFonts w:cs="Arial"/>
                <w:color w:val="000000"/>
                <w:szCs w:val="24"/>
              </w:rPr>
            </w:pPr>
          </w:p>
          <w:p w:rsidR="009B4ED4" w:rsidRPr="00335653" w:rsidRDefault="006852BB" w:rsidP="00335653">
            <w:pPr>
              <w:rPr>
                <w:rFonts w:cs="Arial"/>
                <w:szCs w:val="24"/>
              </w:rPr>
            </w:pPr>
            <w:r w:rsidRPr="00335653">
              <w:rPr>
                <w:rFonts w:cs="Arial"/>
                <w:color w:val="000000"/>
                <w:szCs w:val="24"/>
              </w:rPr>
              <w:t xml:space="preserve">The Commission notes the </w:t>
            </w:r>
            <w:r w:rsidRPr="00335653">
              <w:rPr>
                <w:rFonts w:cs="Arial"/>
                <w:szCs w:val="24"/>
              </w:rPr>
              <w:t xml:space="preserve">broad evidence contained in the Report of the Academic Expert Group, in particular the </w:t>
            </w:r>
            <w:r w:rsidR="00B6081A" w:rsidRPr="00335653">
              <w:rPr>
                <w:rFonts w:cs="Arial"/>
                <w:szCs w:val="24"/>
              </w:rPr>
              <w:t>lack of evidence that a number larger than twelve is more effective, but that there was evidence to caution against having fewer than twelve.</w:t>
            </w:r>
          </w:p>
        </w:tc>
      </w:tr>
    </w:tbl>
    <w:p w:rsidR="000E2A92" w:rsidRPr="00335653" w:rsidRDefault="000E2A92" w:rsidP="009232EF">
      <w:pPr>
        <w:jc w:val="left"/>
        <w:rPr>
          <w:rFonts w:cs="Arial"/>
          <w:b/>
          <w:szCs w:val="24"/>
          <w:u w:val="single"/>
        </w:rPr>
      </w:pPr>
    </w:p>
    <w:p w:rsidR="000E2A92" w:rsidRPr="00335653" w:rsidRDefault="000E2A92" w:rsidP="009232EF">
      <w:pPr>
        <w:jc w:val="left"/>
        <w:rPr>
          <w:rFonts w:cs="Arial"/>
          <w:b/>
          <w:szCs w:val="24"/>
          <w:u w:val="single"/>
        </w:rPr>
      </w:pPr>
    </w:p>
    <w:p w:rsidR="000E2A92" w:rsidRPr="00335653" w:rsidRDefault="000E2A92" w:rsidP="009232EF">
      <w:pPr>
        <w:jc w:val="left"/>
        <w:rPr>
          <w:rFonts w:cs="Arial"/>
          <w:b/>
          <w:szCs w:val="24"/>
          <w:u w:val="single"/>
        </w:rPr>
      </w:pPr>
    </w:p>
    <w:p w:rsidR="000E2A92" w:rsidRPr="00335653" w:rsidRDefault="000E2A92" w:rsidP="000E2A92">
      <w:pPr>
        <w:rPr>
          <w:rFonts w:cs="Arial"/>
          <w:b/>
          <w:szCs w:val="24"/>
        </w:rPr>
      </w:pPr>
      <w:r w:rsidRPr="00335653">
        <w:rPr>
          <w:rFonts w:cs="Arial"/>
          <w:b/>
          <w:szCs w:val="24"/>
        </w:rPr>
        <w:t>Question 8F) - Do you think there should be 2 or 3 verdicts in criminal trials?</w:t>
      </w:r>
    </w:p>
    <w:p w:rsidR="000E2A92" w:rsidRPr="00335653" w:rsidRDefault="000E2A92" w:rsidP="000E2A92">
      <w:pPr>
        <w:rPr>
          <w:rFonts w:cs="Arial"/>
          <w:b/>
          <w:szCs w:val="24"/>
        </w:rPr>
      </w:pPr>
    </w:p>
    <w:p w:rsidR="000E2A92" w:rsidRPr="00335653" w:rsidRDefault="000E2A92" w:rsidP="000E2A92">
      <w:pPr>
        <w:jc w:val="left"/>
        <w:rPr>
          <w:rFonts w:cs="Arial"/>
          <w:szCs w:val="24"/>
        </w:rPr>
      </w:pPr>
      <w:r w:rsidRPr="00335653">
        <w:rPr>
          <w:rFonts w:cs="Arial"/>
          <w:szCs w:val="24"/>
        </w:rPr>
        <w:t xml:space="preserve">2  </w:t>
      </w:r>
      <w:r w:rsidRPr="00335653">
        <w:rPr>
          <w:rFonts w:cs="Arial"/>
          <w:szCs w:val="24"/>
        </w:rPr>
        <w:fldChar w:fldCharType="begin">
          <w:ffData>
            <w:name w:val="Check1"/>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r w:rsidRPr="00335653">
        <w:rPr>
          <w:rFonts w:cs="Arial"/>
          <w:szCs w:val="24"/>
        </w:rPr>
        <w:t xml:space="preserve">  3  </w:t>
      </w:r>
      <w:r w:rsidRPr="00335653">
        <w:rPr>
          <w:rFonts w:cs="Arial"/>
          <w:szCs w:val="24"/>
        </w:rPr>
        <w:fldChar w:fldCharType="begin">
          <w:ffData>
            <w:name w:val="Check2"/>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p>
    <w:p w:rsidR="000E2A92" w:rsidRPr="00335653" w:rsidRDefault="000E2A92" w:rsidP="000E2A92">
      <w:pPr>
        <w:rPr>
          <w:rFonts w:cs="Arial"/>
          <w:i/>
          <w:szCs w:val="24"/>
        </w:rPr>
      </w:pPr>
    </w:p>
    <w:p w:rsidR="000E2A92" w:rsidRPr="00335653" w:rsidRDefault="000E2A92" w:rsidP="000E2A92">
      <w:pPr>
        <w:rPr>
          <w:rFonts w:cs="Arial"/>
          <w:i/>
          <w:szCs w:val="24"/>
        </w:rPr>
      </w:pPr>
      <w:r w:rsidRPr="00335653">
        <w:rPr>
          <w:rFonts w:cs="Arial"/>
          <w:i/>
          <w:szCs w:val="24"/>
        </w:rPr>
        <w:t>Please feel free to provide any additional comments to support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E2A92" w:rsidRPr="00335653" w:rsidTr="000E2A92">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B6081A" w:rsidRPr="00335653" w:rsidRDefault="0046609C" w:rsidP="00B6081A">
            <w:pPr>
              <w:rPr>
                <w:rFonts w:cs="Arial"/>
                <w:color w:val="000000"/>
                <w:szCs w:val="24"/>
              </w:rPr>
            </w:pPr>
            <w:r w:rsidRPr="00335653">
              <w:rPr>
                <w:rFonts w:cs="Arial"/>
                <w:color w:val="000000"/>
                <w:szCs w:val="24"/>
              </w:rPr>
              <w:t xml:space="preserve">The presumption of innocence is a fundamental right guaranteed by Article 6. </w:t>
            </w:r>
            <w:r w:rsidR="00B6081A" w:rsidRPr="00335653">
              <w:rPr>
                <w:rFonts w:cs="Arial"/>
                <w:color w:val="000000"/>
                <w:szCs w:val="24"/>
              </w:rPr>
              <w:t>The Not Proven verdict in and of itself is not incompatible with ECHR. However the system must not allow for lingering doubts about the acquitted person’s innocence when such a verdict is returned.</w:t>
            </w:r>
          </w:p>
          <w:p w:rsidR="00B6081A" w:rsidRPr="00335653" w:rsidRDefault="00B6081A" w:rsidP="00B6081A">
            <w:pPr>
              <w:rPr>
                <w:rFonts w:cs="Arial"/>
                <w:color w:val="000000"/>
                <w:szCs w:val="24"/>
              </w:rPr>
            </w:pPr>
          </w:p>
          <w:p w:rsidR="00B6081A" w:rsidRPr="00335653" w:rsidRDefault="00B6081A" w:rsidP="00B6081A">
            <w:pPr>
              <w:rPr>
                <w:rFonts w:cs="Arial"/>
                <w:color w:val="000000"/>
                <w:szCs w:val="24"/>
              </w:rPr>
            </w:pPr>
            <w:r w:rsidRPr="00335653">
              <w:rPr>
                <w:rFonts w:cs="Arial"/>
                <w:color w:val="000000"/>
                <w:szCs w:val="24"/>
              </w:rPr>
              <w:t xml:space="preserve">If there is a need for clarity, in order best to reflect the </w:t>
            </w:r>
            <w:r w:rsidRPr="00335653">
              <w:rPr>
                <w:rFonts w:cs="Arial"/>
                <w:i/>
                <w:color w:val="000000"/>
                <w:szCs w:val="24"/>
              </w:rPr>
              <w:t>presumption</w:t>
            </w:r>
            <w:r w:rsidRPr="00335653">
              <w:rPr>
                <w:rFonts w:cs="Arial"/>
                <w:color w:val="000000"/>
                <w:szCs w:val="24"/>
              </w:rPr>
              <w:t xml:space="preserve"> of innocence, it may be that verdicts of proven and not proven best describe whether the Crown has brought home the allegation to the requisite standard or not.</w:t>
            </w:r>
          </w:p>
          <w:p w:rsidR="00B6081A" w:rsidRPr="00335653" w:rsidRDefault="00B6081A" w:rsidP="00B6081A">
            <w:pPr>
              <w:rPr>
                <w:rFonts w:cs="Arial"/>
                <w:color w:val="000000"/>
                <w:szCs w:val="24"/>
              </w:rPr>
            </w:pPr>
          </w:p>
          <w:p w:rsidR="0046609C" w:rsidRPr="00335653" w:rsidRDefault="0046609C" w:rsidP="0046609C">
            <w:pPr>
              <w:rPr>
                <w:rFonts w:cs="Arial"/>
                <w:color w:val="000000"/>
                <w:szCs w:val="24"/>
              </w:rPr>
            </w:pPr>
            <w:r w:rsidRPr="00335653">
              <w:rPr>
                <w:rFonts w:cs="Arial"/>
                <w:color w:val="000000"/>
                <w:szCs w:val="24"/>
              </w:rPr>
              <w:t>The ECtHR has considered whether, after a determination which acquits an accused of a criminal charge, there can or should be any doubt as to the presumption of innocence by a court (in that case, assessing whether he was entitled to damages).</w:t>
            </w:r>
            <w:r w:rsidRPr="00335653">
              <w:rPr>
                <w:rStyle w:val="FootnoteReference"/>
                <w:rFonts w:cs="Arial"/>
                <w:color w:val="000000"/>
                <w:szCs w:val="24"/>
              </w:rPr>
              <w:footnoteReference w:id="17"/>
            </w:r>
            <w:r w:rsidRPr="00335653">
              <w:rPr>
                <w:rFonts w:cs="Arial"/>
                <w:color w:val="000000"/>
                <w:szCs w:val="24"/>
              </w:rPr>
              <w:t xml:space="preserve"> The national court had concluded that the jury had taken the view that the suspicion was not sufficient to reach a guilty verdict but that there was no question of that suspicion having been dispelled. The ECtHR said this approach left open a doubt as to the applicant’s innocence and the correctness of the verdict. The Court went on to say that “The voicing of suspicions regarding an accused’s innocence is conceivable as long as the conclusion of criminal proceedings has not resulted in a decision on the merits of the accusation. However it is no longer admissible to rely on such suspicions once an acquittal has become final.” The Court held that the approach taken by the national court was incompatible with the presumption of innocence.</w:t>
            </w:r>
            <w:r w:rsidRPr="00335653">
              <w:rPr>
                <w:rStyle w:val="FootnoteReference"/>
                <w:rFonts w:cs="Arial"/>
                <w:color w:val="000000"/>
                <w:szCs w:val="24"/>
              </w:rPr>
              <w:footnoteReference w:id="18"/>
            </w:r>
          </w:p>
          <w:p w:rsidR="0046609C" w:rsidRPr="00335653" w:rsidRDefault="0046609C" w:rsidP="0046609C">
            <w:pPr>
              <w:rPr>
                <w:rFonts w:cs="Arial"/>
                <w:color w:val="000000"/>
                <w:szCs w:val="24"/>
              </w:rPr>
            </w:pPr>
          </w:p>
          <w:p w:rsidR="0046609C" w:rsidRPr="00335653" w:rsidRDefault="0046609C" w:rsidP="0046609C">
            <w:pPr>
              <w:rPr>
                <w:rFonts w:cs="Arial"/>
                <w:color w:val="000000"/>
                <w:szCs w:val="24"/>
              </w:rPr>
            </w:pPr>
            <w:r w:rsidRPr="00335653">
              <w:rPr>
                <w:rFonts w:cs="Arial"/>
                <w:color w:val="000000"/>
                <w:szCs w:val="24"/>
              </w:rPr>
              <w:t xml:space="preserve">In </w:t>
            </w:r>
            <w:r w:rsidRPr="00335653">
              <w:rPr>
                <w:rFonts w:cs="Arial"/>
                <w:i/>
                <w:color w:val="000000"/>
                <w:szCs w:val="24"/>
              </w:rPr>
              <w:t>Rushiti v Austria</w:t>
            </w:r>
            <w:r w:rsidRPr="00335653">
              <w:rPr>
                <w:rFonts w:cs="Arial"/>
                <w:color w:val="000000"/>
                <w:szCs w:val="24"/>
              </w:rPr>
              <w:t>,</w:t>
            </w:r>
            <w:r w:rsidRPr="00335653">
              <w:rPr>
                <w:rStyle w:val="FootnoteReference"/>
                <w:rFonts w:cs="Arial"/>
                <w:color w:val="000000"/>
                <w:szCs w:val="24"/>
              </w:rPr>
              <w:footnoteReference w:id="19"/>
            </w:r>
            <w:r w:rsidRPr="00335653">
              <w:rPr>
                <w:rFonts w:cs="Arial"/>
                <w:color w:val="000000"/>
                <w:szCs w:val="24"/>
              </w:rPr>
              <w:t xml:space="preserve"> the ECtHR affirmed the general rule that following a final acquittal even the voicing of suspicions regarding an accused’s innocence is no longer admissible, stating, “The Court thus considers that once an acquittal has become final – be it an acquittal giving the accused the benefit of the doubt in accordance with A</w:t>
            </w:r>
            <w:r w:rsidR="00B6081A" w:rsidRPr="00335653">
              <w:rPr>
                <w:rFonts w:cs="Arial"/>
                <w:color w:val="000000"/>
                <w:szCs w:val="24"/>
              </w:rPr>
              <w:t xml:space="preserve">rticle </w:t>
            </w:r>
            <w:r w:rsidRPr="00335653">
              <w:rPr>
                <w:rFonts w:cs="Arial"/>
                <w:color w:val="000000"/>
                <w:szCs w:val="24"/>
              </w:rPr>
              <w:t>6(2) – the voicing of any suspicions of guilt, including those expressed in the reasons for the acquittal, is incompatible with the presumption of innocence.”</w:t>
            </w:r>
            <w:r w:rsidRPr="00335653">
              <w:rPr>
                <w:rStyle w:val="FootnoteReference"/>
                <w:rFonts w:cs="Arial"/>
                <w:color w:val="000000"/>
                <w:szCs w:val="24"/>
              </w:rPr>
              <w:footnoteReference w:id="20"/>
            </w:r>
          </w:p>
          <w:p w:rsidR="0046609C" w:rsidRPr="00335653" w:rsidRDefault="0046609C" w:rsidP="0046609C">
            <w:pPr>
              <w:rPr>
                <w:rFonts w:cs="Arial"/>
                <w:color w:val="000000"/>
                <w:szCs w:val="24"/>
              </w:rPr>
            </w:pPr>
          </w:p>
          <w:p w:rsidR="000E2A92" w:rsidRPr="00335653" w:rsidRDefault="0046609C" w:rsidP="00B6081A">
            <w:pPr>
              <w:rPr>
                <w:rFonts w:cs="Arial"/>
                <w:color w:val="000000"/>
                <w:szCs w:val="24"/>
              </w:rPr>
            </w:pPr>
            <w:r w:rsidRPr="00335653">
              <w:rPr>
                <w:rFonts w:cs="Arial"/>
                <w:color w:val="000000"/>
                <w:szCs w:val="24"/>
              </w:rPr>
              <w:t xml:space="preserve">In </w:t>
            </w:r>
            <w:r w:rsidRPr="00335653">
              <w:rPr>
                <w:rFonts w:cs="Arial"/>
                <w:i/>
                <w:color w:val="000000"/>
                <w:szCs w:val="24"/>
              </w:rPr>
              <w:t>Weixelbraun v Austria</w:t>
            </w:r>
            <w:r w:rsidRPr="00335653">
              <w:rPr>
                <w:rStyle w:val="FootnoteReference"/>
                <w:rFonts w:cs="Arial"/>
                <w:color w:val="000000"/>
                <w:szCs w:val="24"/>
              </w:rPr>
              <w:footnoteReference w:id="21"/>
            </w:r>
            <w:r w:rsidRPr="00335653">
              <w:rPr>
                <w:rFonts w:cs="Arial"/>
                <w:color w:val="000000"/>
                <w:szCs w:val="24"/>
              </w:rPr>
              <w:t xml:space="preserve"> the ECtHR considered the issue of a “full acquittal and an acquittal </w:t>
            </w:r>
            <w:r w:rsidRPr="00335653">
              <w:rPr>
                <w:rFonts w:cs="Arial"/>
                <w:i/>
                <w:color w:val="000000"/>
                <w:szCs w:val="24"/>
              </w:rPr>
              <w:t>in dubeo pro reo</w:t>
            </w:r>
            <w:r w:rsidRPr="00335653">
              <w:rPr>
                <w:rFonts w:cs="Arial"/>
                <w:color w:val="000000"/>
                <w:szCs w:val="24"/>
              </w:rPr>
              <w:t>” (which means where the accused receives the benefit of the doubt – arguably similar to our not proven verdict). The Court affirmed that once an accused was acquitted on either basis, he was entitled to the presumption of innocence.</w:t>
            </w:r>
            <w:r w:rsidRPr="00335653">
              <w:rPr>
                <w:rStyle w:val="FootnoteReference"/>
                <w:rFonts w:cs="Arial"/>
                <w:color w:val="000000"/>
                <w:szCs w:val="24"/>
              </w:rPr>
              <w:footnoteReference w:id="22"/>
            </w:r>
          </w:p>
          <w:p w:rsidR="00B6081A" w:rsidRPr="00335653" w:rsidRDefault="00B6081A" w:rsidP="00B6081A">
            <w:pPr>
              <w:rPr>
                <w:rFonts w:cs="Arial"/>
                <w:color w:val="000000"/>
                <w:szCs w:val="24"/>
              </w:rPr>
            </w:pPr>
          </w:p>
          <w:p w:rsidR="00B6081A" w:rsidRPr="00335653" w:rsidRDefault="00B6081A" w:rsidP="00B6081A">
            <w:pPr>
              <w:rPr>
                <w:rFonts w:cs="Arial"/>
                <w:szCs w:val="24"/>
              </w:rPr>
            </w:pPr>
          </w:p>
        </w:tc>
      </w:tr>
    </w:tbl>
    <w:p w:rsidR="00A2720C" w:rsidRPr="00335653" w:rsidRDefault="00A2720C" w:rsidP="000E2A92">
      <w:pPr>
        <w:rPr>
          <w:rFonts w:cs="Arial"/>
          <w:b/>
          <w:szCs w:val="24"/>
        </w:rPr>
      </w:pPr>
    </w:p>
    <w:p w:rsidR="00A2720C" w:rsidRPr="00335653" w:rsidRDefault="00A2720C" w:rsidP="000E2A92">
      <w:pPr>
        <w:rPr>
          <w:rFonts w:cs="Arial"/>
          <w:b/>
          <w:szCs w:val="24"/>
        </w:rPr>
      </w:pPr>
    </w:p>
    <w:p w:rsidR="000E2A92" w:rsidRPr="00335653" w:rsidRDefault="000E2A92" w:rsidP="000E2A92">
      <w:pPr>
        <w:rPr>
          <w:rFonts w:cs="Arial"/>
          <w:b/>
          <w:szCs w:val="24"/>
        </w:rPr>
      </w:pPr>
      <w:r w:rsidRPr="00335653">
        <w:rPr>
          <w:rFonts w:cs="Arial"/>
          <w:b/>
          <w:szCs w:val="24"/>
        </w:rPr>
        <w:lastRenderedPageBreak/>
        <w:t>Question 8G) If you answered 2, what should these verdicts be?</w:t>
      </w:r>
    </w:p>
    <w:p w:rsidR="000E2A92" w:rsidRPr="00335653" w:rsidRDefault="000E2A92" w:rsidP="000E2A92">
      <w:pPr>
        <w:rPr>
          <w:rFonts w:cs="Arial"/>
          <w:szCs w:val="24"/>
        </w:rPr>
      </w:pPr>
    </w:p>
    <w:p w:rsidR="000E2A92" w:rsidRPr="00335653" w:rsidRDefault="000E2A92" w:rsidP="000E2A92">
      <w:pPr>
        <w:rPr>
          <w:rFonts w:cs="Arial"/>
          <w:szCs w:val="24"/>
        </w:rPr>
      </w:pPr>
      <w:r w:rsidRPr="00335653">
        <w:rPr>
          <w:rFonts w:cs="Arial"/>
          <w:szCs w:val="24"/>
        </w:rPr>
        <w:t xml:space="preserve">Guilty and Not Guilty </w:t>
      </w:r>
      <w:r w:rsidRPr="00335653">
        <w:rPr>
          <w:rFonts w:cs="Arial"/>
          <w:szCs w:val="24"/>
        </w:rPr>
        <w:fldChar w:fldCharType="begin">
          <w:ffData>
            <w:name w:val="Check2"/>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p>
    <w:p w:rsidR="000E2A92" w:rsidRPr="00335653" w:rsidRDefault="000E2A92" w:rsidP="000E2A92">
      <w:pPr>
        <w:rPr>
          <w:rFonts w:cs="Arial"/>
          <w:szCs w:val="24"/>
        </w:rPr>
      </w:pPr>
    </w:p>
    <w:p w:rsidR="000E2A92" w:rsidRPr="00335653" w:rsidRDefault="000E2A92" w:rsidP="000E2A92">
      <w:pPr>
        <w:rPr>
          <w:rFonts w:cs="Arial"/>
          <w:szCs w:val="24"/>
        </w:rPr>
      </w:pPr>
      <w:r w:rsidRPr="00335653">
        <w:rPr>
          <w:rFonts w:cs="Arial"/>
          <w:szCs w:val="24"/>
        </w:rPr>
        <w:t xml:space="preserve">Guilty and Not Proven </w:t>
      </w:r>
      <w:r w:rsidRPr="00335653">
        <w:rPr>
          <w:rFonts w:cs="Arial"/>
          <w:szCs w:val="24"/>
        </w:rPr>
        <w:fldChar w:fldCharType="begin">
          <w:ffData>
            <w:name w:val="Check2"/>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p>
    <w:p w:rsidR="000E2A92" w:rsidRPr="00335653" w:rsidRDefault="000E2A92" w:rsidP="000E2A92">
      <w:pPr>
        <w:rPr>
          <w:rFonts w:cs="Arial"/>
          <w:szCs w:val="24"/>
        </w:rPr>
      </w:pPr>
    </w:p>
    <w:p w:rsidR="000E2A92" w:rsidRPr="00335653" w:rsidRDefault="000E2A92" w:rsidP="000E2A92">
      <w:pPr>
        <w:rPr>
          <w:rFonts w:cs="Arial"/>
          <w:szCs w:val="24"/>
        </w:rPr>
      </w:pPr>
      <w:r w:rsidRPr="00335653">
        <w:rPr>
          <w:rFonts w:cs="Arial"/>
          <w:szCs w:val="24"/>
        </w:rPr>
        <w:t xml:space="preserve">Proven and Not Proven </w:t>
      </w:r>
      <w:r w:rsidRPr="00335653">
        <w:rPr>
          <w:rFonts w:cs="Arial"/>
          <w:szCs w:val="24"/>
        </w:rPr>
        <w:fldChar w:fldCharType="begin">
          <w:ffData>
            <w:name w:val="Check2"/>
            <w:enabled/>
            <w:calcOnExit w:val="0"/>
            <w:checkBox>
              <w:sizeAuto/>
              <w:default w:val="0"/>
            </w:checkBox>
          </w:ffData>
        </w:fldChar>
      </w:r>
      <w:r w:rsidRPr="00335653">
        <w:rPr>
          <w:rFonts w:cs="Arial"/>
          <w:szCs w:val="24"/>
        </w:rPr>
        <w:instrText xml:space="preserve"> FORMCHECKBOX </w:instrText>
      </w:r>
      <w:r w:rsidRPr="00335653">
        <w:rPr>
          <w:rFonts w:cs="Arial"/>
          <w:szCs w:val="24"/>
        </w:rPr>
      </w:r>
      <w:r w:rsidRPr="00335653">
        <w:rPr>
          <w:rFonts w:cs="Arial"/>
          <w:szCs w:val="24"/>
        </w:rPr>
        <w:fldChar w:fldCharType="end"/>
      </w:r>
    </w:p>
    <w:p w:rsidR="000E2A92" w:rsidRPr="00335653" w:rsidRDefault="000E2A92" w:rsidP="000E2A92">
      <w:pPr>
        <w:rPr>
          <w:rFonts w:cs="Arial"/>
          <w:szCs w:val="24"/>
        </w:rPr>
      </w:pPr>
    </w:p>
    <w:p w:rsidR="000E2A92" w:rsidRPr="00335653" w:rsidRDefault="000E2A92" w:rsidP="000E2A92">
      <w:pPr>
        <w:rPr>
          <w:rFonts w:cs="Arial"/>
          <w:i/>
          <w:szCs w:val="24"/>
        </w:rPr>
      </w:pPr>
      <w:r w:rsidRPr="00335653">
        <w:rPr>
          <w:rFonts w:cs="Arial"/>
          <w:i/>
          <w:szCs w:val="24"/>
        </w:rPr>
        <w:t>Please feel free to provide any additional comments to support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E2A92" w:rsidRPr="00335653" w:rsidTr="000E2A92">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0E2A92" w:rsidRPr="00335653" w:rsidRDefault="000E2A92">
            <w:pPr>
              <w:jc w:val="left"/>
              <w:rPr>
                <w:rFonts w:cs="Arial"/>
                <w:szCs w:val="24"/>
              </w:rPr>
            </w:pPr>
          </w:p>
        </w:tc>
      </w:tr>
    </w:tbl>
    <w:p w:rsidR="000E2A92" w:rsidRPr="00335653" w:rsidRDefault="000E2A92" w:rsidP="009232EF">
      <w:pPr>
        <w:jc w:val="left"/>
        <w:rPr>
          <w:rFonts w:cs="Arial"/>
          <w:b/>
          <w:szCs w:val="24"/>
          <w:u w:val="single"/>
        </w:rPr>
      </w:pPr>
    </w:p>
    <w:p w:rsidR="000E2A92" w:rsidRPr="00335653" w:rsidRDefault="000E2A92" w:rsidP="009232EF">
      <w:pPr>
        <w:jc w:val="left"/>
        <w:rPr>
          <w:rFonts w:cs="Arial"/>
          <w:b/>
          <w:szCs w:val="24"/>
          <w:u w:val="single"/>
        </w:rPr>
      </w:pPr>
    </w:p>
    <w:p w:rsidR="000E2A92" w:rsidRPr="00335653" w:rsidRDefault="000E2A92" w:rsidP="000E2A92">
      <w:pPr>
        <w:rPr>
          <w:rFonts w:cs="Arial"/>
          <w:b/>
          <w:szCs w:val="24"/>
          <w:u w:val="single"/>
        </w:rPr>
      </w:pPr>
      <w:r w:rsidRPr="00335653">
        <w:rPr>
          <w:rFonts w:cs="Arial"/>
          <w:b/>
          <w:szCs w:val="24"/>
          <w:u w:val="single"/>
        </w:rPr>
        <w:t>Questions 9, 10 and 11</w:t>
      </w:r>
    </w:p>
    <w:p w:rsidR="000E2A92" w:rsidRPr="00335653" w:rsidRDefault="000E2A92" w:rsidP="000E2A92">
      <w:pPr>
        <w:rPr>
          <w:rFonts w:cs="Arial"/>
          <w:b/>
          <w:szCs w:val="24"/>
        </w:rPr>
      </w:pPr>
    </w:p>
    <w:p w:rsidR="000E2A92" w:rsidRPr="00335653" w:rsidRDefault="000E2A92" w:rsidP="000E2A92">
      <w:pPr>
        <w:rPr>
          <w:rFonts w:cs="Arial"/>
          <w:b/>
          <w:szCs w:val="24"/>
        </w:rPr>
      </w:pPr>
      <w:r w:rsidRPr="00335653">
        <w:rPr>
          <w:rFonts w:cs="Arial"/>
          <w:b/>
          <w:szCs w:val="24"/>
        </w:rPr>
        <w:t>Additional Comments</w:t>
      </w:r>
    </w:p>
    <w:p w:rsidR="000E2A92" w:rsidRPr="00335653" w:rsidRDefault="000E2A92" w:rsidP="000E2A92">
      <w:pPr>
        <w:rPr>
          <w:rFonts w:cs="Arial"/>
          <w:b/>
          <w:szCs w:val="24"/>
        </w:rPr>
      </w:pPr>
    </w:p>
    <w:p w:rsidR="000E2A92" w:rsidRPr="00335653" w:rsidRDefault="000E2A92" w:rsidP="000E2A92">
      <w:pPr>
        <w:rPr>
          <w:rFonts w:cs="Arial"/>
          <w:i/>
          <w:szCs w:val="24"/>
        </w:rPr>
      </w:pPr>
      <w:r w:rsidRPr="00335653">
        <w:rPr>
          <w:rFonts w:cs="Arial"/>
          <w:b/>
          <w:szCs w:val="24"/>
        </w:rPr>
        <w:t>Question 9</w:t>
      </w:r>
      <w:r w:rsidR="002B13F0" w:rsidRPr="00335653">
        <w:rPr>
          <w:rFonts w:cs="Arial"/>
          <w:b/>
          <w:szCs w:val="24"/>
        </w:rPr>
        <w:t>)</w:t>
      </w:r>
      <w:r w:rsidRPr="00335653">
        <w:rPr>
          <w:rFonts w:cs="Arial"/>
          <w:b/>
          <w:szCs w:val="24"/>
        </w:rPr>
        <w:t xml:space="preserve"> -  Do you have any comments to make on proposals raised in the Report of the Academic Expert Group that have not been mentioned in th</w:t>
      </w:r>
      <w:r w:rsidR="002B13F0" w:rsidRPr="00335653">
        <w:rPr>
          <w:rFonts w:cs="Arial"/>
          <w:b/>
          <w:szCs w:val="24"/>
        </w:rPr>
        <w:t xml:space="preserve">e </w:t>
      </w:r>
      <w:r w:rsidRPr="00335653">
        <w:rPr>
          <w:rFonts w:cs="Arial"/>
          <w:b/>
          <w:szCs w:val="24"/>
        </w:rPr>
        <w:t>consultation document?</w:t>
      </w:r>
      <w:r w:rsidRPr="00335653">
        <w:rPr>
          <w:rFonts w:cs="Arial"/>
          <w:i/>
          <w:szCs w:val="24"/>
        </w:rPr>
        <w:t xml:space="preserve"> </w:t>
      </w:r>
    </w:p>
    <w:p w:rsidR="000E2A92" w:rsidRPr="00335653" w:rsidRDefault="000E2A92" w:rsidP="000E2A92">
      <w:pPr>
        <w:rPr>
          <w:rFonts w:cs="Arial"/>
          <w:i/>
          <w:szCs w:val="24"/>
        </w:rPr>
      </w:pP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E2A92" w:rsidRPr="00335653" w:rsidTr="000E2A92">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0E2A92" w:rsidRPr="00335653" w:rsidRDefault="009B4ED4" w:rsidP="00053010">
            <w:pPr>
              <w:rPr>
                <w:rFonts w:cs="Arial"/>
                <w:szCs w:val="24"/>
              </w:rPr>
            </w:pPr>
            <w:r w:rsidRPr="00335653">
              <w:rPr>
                <w:rFonts w:cs="Arial"/>
                <w:szCs w:val="24"/>
              </w:rPr>
              <w:t xml:space="preserve">The Commission is aware of issues concerning the protection of privacy rights of complainers and notes the Academic </w:t>
            </w:r>
            <w:r w:rsidR="00053010" w:rsidRPr="00335653">
              <w:rPr>
                <w:rFonts w:cs="Arial"/>
                <w:szCs w:val="24"/>
              </w:rPr>
              <w:t>Expert R</w:t>
            </w:r>
            <w:r w:rsidRPr="00335653">
              <w:rPr>
                <w:rFonts w:cs="Arial"/>
                <w:szCs w:val="24"/>
              </w:rPr>
              <w:t xml:space="preserve">eport's discussion of Independent Legal Representation. While at this stage no view is expressed on the issue of </w:t>
            </w:r>
            <w:r w:rsidR="00053010" w:rsidRPr="00335653">
              <w:rPr>
                <w:rFonts w:cs="Arial"/>
                <w:szCs w:val="24"/>
              </w:rPr>
              <w:t>Independent Legal Representation</w:t>
            </w:r>
            <w:r w:rsidRPr="00335653">
              <w:rPr>
                <w:rFonts w:cs="Arial"/>
                <w:szCs w:val="24"/>
              </w:rPr>
              <w:t>, it would appear to the Commission that some measures already exist which could allow for greater protection of complainers but that there may be practical obstacles to their being exercised. These would include lack of information to complainers about their rights as owners of their own confidential records; lack of public funding for advice and representation for complainers whose records are sought to be recovered; inconsistent practice in serving petitions for recovery of documents on complainers. Consideration should be given to recommending that the Scottish Government look at such matters in more detail.</w:t>
            </w:r>
          </w:p>
        </w:tc>
      </w:tr>
    </w:tbl>
    <w:p w:rsidR="000E2A92" w:rsidRPr="00335653" w:rsidRDefault="000E2A92" w:rsidP="000E2A92">
      <w:pPr>
        <w:rPr>
          <w:rFonts w:cs="Arial"/>
          <w:i/>
          <w:szCs w:val="24"/>
        </w:rPr>
      </w:pPr>
    </w:p>
    <w:p w:rsidR="000E2A92" w:rsidRPr="00335653" w:rsidRDefault="000E2A92" w:rsidP="000E2A92">
      <w:pPr>
        <w:rPr>
          <w:rFonts w:cs="Arial"/>
          <w:b/>
          <w:szCs w:val="24"/>
        </w:rPr>
      </w:pPr>
      <w:r w:rsidRPr="00335653">
        <w:rPr>
          <w:rFonts w:cs="Arial"/>
          <w:b/>
          <w:szCs w:val="24"/>
        </w:rPr>
        <w:t xml:space="preserve">Question 10A) -  Do you think there are any additional matters to be considered in relation to safeguards in solemn cases that are not raised in </w:t>
      </w:r>
      <w:r w:rsidR="002B13F0" w:rsidRPr="00335653">
        <w:rPr>
          <w:rFonts w:cs="Arial"/>
          <w:b/>
          <w:szCs w:val="24"/>
        </w:rPr>
        <w:t>the consultation</w:t>
      </w:r>
      <w:r w:rsidRPr="00335653">
        <w:rPr>
          <w:rFonts w:cs="Arial"/>
          <w:b/>
          <w:szCs w:val="24"/>
        </w:rPr>
        <w:t xml:space="preserve"> document or in the Report by the Academic Expert Group?</w:t>
      </w:r>
    </w:p>
    <w:p w:rsidR="00053010" w:rsidRPr="00335653" w:rsidRDefault="00053010" w:rsidP="00053010">
      <w:pPr>
        <w:rPr>
          <w:rFonts w:cs="Arial"/>
          <w:b/>
          <w:szCs w:val="24"/>
        </w:rPr>
      </w:pPr>
    </w:p>
    <w:p w:rsidR="00053010" w:rsidRPr="00335653" w:rsidRDefault="00053010" w:rsidP="00053010">
      <w:pPr>
        <w:rPr>
          <w:rFonts w:cs="Arial"/>
          <w:b/>
          <w:szCs w:val="24"/>
        </w:rPr>
      </w:pPr>
      <w:r w:rsidRPr="00335653">
        <w:rPr>
          <w:rFonts w:cs="Arial"/>
          <w:b/>
          <w:szCs w:val="24"/>
        </w:rPr>
        <w:t>Question 10B) -  Do you think there are any additional matters to be considered in relation to safeguards in summary cases that are not raised in the consultation document or in the Report by the Academic Expert Group?</w:t>
      </w:r>
    </w:p>
    <w:p w:rsidR="000E2A92" w:rsidRPr="00335653" w:rsidRDefault="000E2A92" w:rsidP="000E2A92">
      <w:pPr>
        <w:rPr>
          <w:rFonts w:cs="Arial"/>
          <w:b/>
          <w:szCs w:val="24"/>
        </w:rPr>
      </w:pP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E2A92" w:rsidRPr="00335653" w:rsidTr="000E2A92">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0E2A92" w:rsidRPr="00335653" w:rsidRDefault="009B4ED4" w:rsidP="00053010">
            <w:pPr>
              <w:rPr>
                <w:rFonts w:cs="Arial"/>
                <w:szCs w:val="24"/>
              </w:rPr>
            </w:pPr>
            <w:r w:rsidRPr="00335653">
              <w:rPr>
                <w:rFonts w:cs="Arial"/>
                <w:szCs w:val="24"/>
              </w:rPr>
              <w:t>There are certain types of evidence which the ECtHR has recognised as causing a restriction on the rights of the defence which are guaranteed by Article 6</w:t>
            </w:r>
            <w:r w:rsidR="00053010" w:rsidRPr="00335653">
              <w:rPr>
                <w:rFonts w:cs="Arial"/>
                <w:szCs w:val="24"/>
              </w:rPr>
              <w:t xml:space="preserve"> of the ECHR</w:t>
            </w:r>
            <w:r w:rsidRPr="00335653">
              <w:rPr>
                <w:rFonts w:cs="Arial"/>
                <w:szCs w:val="24"/>
              </w:rPr>
              <w:t xml:space="preserve">. While the consultation document and Academic </w:t>
            </w:r>
            <w:r w:rsidR="00053010" w:rsidRPr="00335653">
              <w:rPr>
                <w:rFonts w:cs="Arial"/>
                <w:szCs w:val="24"/>
              </w:rPr>
              <w:t>Expert R</w:t>
            </w:r>
            <w:r w:rsidRPr="00335653">
              <w:rPr>
                <w:rFonts w:cs="Arial"/>
                <w:szCs w:val="24"/>
              </w:rPr>
              <w:t xml:space="preserve">eport discuss a number of these, the Commission would also draw attention to evidence of anonymous witnesses, evidence of undercover police officers, and unlawfully obtained evidence as being in the same category. That is, the nature of the evidence or how it is obtained restricts </w:t>
            </w:r>
            <w:r w:rsidRPr="00335653">
              <w:rPr>
                <w:rFonts w:cs="Arial"/>
                <w:szCs w:val="24"/>
              </w:rPr>
              <w:lastRenderedPageBreak/>
              <w:t>the opportunity for the defence to challenge its provenance, authenticity, reliability and credibility, and to have it excluded if appropriate. Scots law has to date relied heavily on corroboration to safeguard all such situations. While the consultation document suggests particular safeguards for specific types of evidence, and the Commission agrees with those proposed, the Commission would urge the Review to consider making proposals which have a general application across different types of problematic evidence. The proposal of no case to answer/no reasonable jury is one such measure. Another would be an exclusionary rule of the type found in section 78 of PACE. Scots common law has of course a rule relating to admissibility of unfairly obtained evidence. The Commission notes that, if there is to be greater statutory control over rules of evidence and procedure, including Codes of Practice for investigations, there may be merit in considering codifying the common law rule and considering the extent to which breaches of Codes ought to be tolerated</w:t>
            </w:r>
            <w:r w:rsidR="00053010" w:rsidRPr="00335653">
              <w:rPr>
                <w:rFonts w:cs="Arial"/>
                <w:szCs w:val="24"/>
              </w:rPr>
              <w:t xml:space="preserve">. The commission notes the approach taken in </w:t>
            </w:r>
            <w:r w:rsidRPr="00335653">
              <w:rPr>
                <w:rFonts w:cs="Arial"/>
                <w:i/>
                <w:iCs/>
                <w:szCs w:val="24"/>
              </w:rPr>
              <w:t>Lawrie v Muir</w:t>
            </w:r>
            <w:r w:rsidRPr="00335653">
              <w:rPr>
                <w:rFonts w:cs="Arial"/>
                <w:szCs w:val="24"/>
              </w:rPr>
              <w:t xml:space="preserve"> to determine whether a breach is excusable and </w:t>
            </w:r>
            <w:r w:rsidR="00053010" w:rsidRPr="00335653">
              <w:rPr>
                <w:rFonts w:cs="Arial"/>
                <w:szCs w:val="24"/>
              </w:rPr>
              <w:t xml:space="preserve">considers that </w:t>
            </w:r>
            <w:r w:rsidRPr="00335653">
              <w:rPr>
                <w:rFonts w:cs="Arial"/>
                <w:szCs w:val="24"/>
              </w:rPr>
              <w:t>this may not be sufficiently rob</w:t>
            </w:r>
            <w:r w:rsidR="00053010" w:rsidRPr="00335653">
              <w:rPr>
                <w:rFonts w:cs="Arial"/>
                <w:szCs w:val="24"/>
              </w:rPr>
              <w:t>ust</w:t>
            </w:r>
            <w:r w:rsidRPr="00335653">
              <w:rPr>
                <w:rFonts w:cs="Arial"/>
                <w:szCs w:val="24"/>
              </w:rPr>
              <w:t xml:space="preserve"> to engender the culture change the R</w:t>
            </w:r>
            <w:r w:rsidR="00053010" w:rsidRPr="00335653">
              <w:rPr>
                <w:rFonts w:cs="Arial"/>
                <w:szCs w:val="24"/>
              </w:rPr>
              <w:t>eview clearly seeks to achieve.</w:t>
            </w:r>
          </w:p>
        </w:tc>
      </w:tr>
    </w:tbl>
    <w:p w:rsidR="00335653" w:rsidRDefault="00335653" w:rsidP="000E2A92">
      <w:pPr>
        <w:rPr>
          <w:rFonts w:cs="Arial"/>
          <w:b/>
          <w:szCs w:val="24"/>
        </w:rPr>
      </w:pPr>
    </w:p>
    <w:p w:rsidR="00335653" w:rsidRDefault="00335653" w:rsidP="000E2A92">
      <w:pPr>
        <w:rPr>
          <w:rFonts w:cs="Arial"/>
          <w:b/>
          <w:szCs w:val="24"/>
        </w:rPr>
      </w:pPr>
    </w:p>
    <w:p w:rsidR="00335653" w:rsidRDefault="00335653" w:rsidP="000E2A92">
      <w:pPr>
        <w:rPr>
          <w:rFonts w:cs="Arial"/>
          <w:b/>
          <w:szCs w:val="24"/>
        </w:rPr>
      </w:pPr>
    </w:p>
    <w:p w:rsidR="00335653" w:rsidRDefault="00335653" w:rsidP="000E2A92">
      <w:pPr>
        <w:rPr>
          <w:rFonts w:cs="Arial"/>
          <w:b/>
          <w:szCs w:val="24"/>
        </w:rPr>
      </w:pPr>
    </w:p>
    <w:p w:rsidR="00335653" w:rsidRDefault="00335653" w:rsidP="000E2A92">
      <w:pPr>
        <w:rPr>
          <w:rFonts w:cs="Arial"/>
          <w:b/>
          <w:szCs w:val="24"/>
        </w:rPr>
      </w:pPr>
    </w:p>
    <w:p w:rsidR="00335653" w:rsidRDefault="00335653" w:rsidP="000E2A92">
      <w:pPr>
        <w:rPr>
          <w:rFonts w:cs="Arial"/>
          <w:b/>
          <w:szCs w:val="24"/>
        </w:rPr>
      </w:pPr>
    </w:p>
    <w:p w:rsidR="000E2A92" w:rsidRDefault="000E2A92" w:rsidP="000E2A92">
      <w:pPr>
        <w:rPr>
          <w:rFonts w:cs="Arial"/>
          <w:b/>
          <w:szCs w:val="24"/>
        </w:rPr>
      </w:pPr>
      <w:r w:rsidRPr="00335653">
        <w:rPr>
          <w:rFonts w:cs="Arial"/>
          <w:b/>
          <w:szCs w:val="24"/>
        </w:rPr>
        <w:t>Question 11</w:t>
      </w:r>
      <w:r w:rsidR="002B13F0" w:rsidRPr="00335653">
        <w:rPr>
          <w:rFonts w:cs="Arial"/>
          <w:b/>
          <w:szCs w:val="24"/>
        </w:rPr>
        <w:t>)</w:t>
      </w:r>
      <w:r w:rsidRPr="00335653">
        <w:rPr>
          <w:rFonts w:cs="Arial"/>
          <w:b/>
          <w:szCs w:val="24"/>
        </w:rPr>
        <w:t xml:space="preserve"> - Do you believe that there would be any unforeseen consequences arising from the changes discussed in th</w:t>
      </w:r>
      <w:r w:rsidR="002B13F0" w:rsidRPr="00335653">
        <w:rPr>
          <w:rFonts w:cs="Arial"/>
          <w:b/>
          <w:szCs w:val="24"/>
        </w:rPr>
        <w:t>e</w:t>
      </w:r>
      <w:r w:rsidRPr="00335653">
        <w:rPr>
          <w:rFonts w:cs="Arial"/>
          <w:b/>
          <w:szCs w:val="24"/>
        </w:rPr>
        <w:t xml:space="preserve"> consultation document or the Report of the Academic Expert Group? These could be in relation to any aspect</w:t>
      </w:r>
      <w:r w:rsidR="002B13F0" w:rsidRPr="00335653">
        <w:rPr>
          <w:rFonts w:cs="Arial"/>
          <w:b/>
          <w:szCs w:val="24"/>
        </w:rPr>
        <w:t xml:space="preserve"> of the criminal justice system, for example </w:t>
      </w:r>
      <w:r w:rsidRPr="00335653">
        <w:rPr>
          <w:rFonts w:cs="Arial"/>
          <w:b/>
          <w:szCs w:val="24"/>
        </w:rPr>
        <w:t>the effect of any possible changes identified on the position of victims and witnesses.  If so, what might these be?</w:t>
      </w:r>
    </w:p>
    <w:p w:rsidR="00335653" w:rsidRPr="00335653" w:rsidRDefault="00335653" w:rsidP="000E2A92">
      <w:pPr>
        <w:rPr>
          <w:rFonts w:cs="Arial"/>
          <w:b/>
          <w:szCs w:val="24"/>
        </w:rPr>
      </w:pP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E2A92" w:rsidRPr="00335653" w:rsidTr="000E2A92">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0E2A92" w:rsidRPr="00335653" w:rsidRDefault="000E2A92">
            <w:pPr>
              <w:rPr>
                <w:rFonts w:cs="Arial"/>
                <w:szCs w:val="24"/>
              </w:rPr>
            </w:pPr>
          </w:p>
        </w:tc>
      </w:tr>
    </w:tbl>
    <w:p w:rsidR="000E2A92" w:rsidRPr="00335653" w:rsidRDefault="000E2A92" w:rsidP="009232EF">
      <w:pPr>
        <w:jc w:val="left"/>
        <w:rPr>
          <w:rFonts w:cs="Arial"/>
          <w:b/>
          <w:szCs w:val="24"/>
          <w:u w:val="single"/>
        </w:rPr>
      </w:pPr>
    </w:p>
    <w:sectPr w:rsidR="000E2A92" w:rsidRPr="00335653" w:rsidSect="009232EF">
      <w:headerReference w:type="default" r:id="rId15"/>
      <w:footerReference w:type="default" r:id="rId16"/>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25B" w:rsidRDefault="00A3325B">
      <w:pPr>
        <w:spacing w:line="240" w:lineRule="auto"/>
      </w:pPr>
      <w:r>
        <w:separator/>
      </w:r>
    </w:p>
  </w:endnote>
  <w:endnote w:type="continuationSeparator" w:id="0">
    <w:p w:rsidR="00A3325B" w:rsidRDefault="00A332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5B" w:rsidRPr="0067486A" w:rsidRDefault="00A3325B"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25B" w:rsidRDefault="00A3325B">
      <w:pPr>
        <w:spacing w:line="240" w:lineRule="auto"/>
      </w:pPr>
      <w:r>
        <w:separator/>
      </w:r>
    </w:p>
  </w:footnote>
  <w:footnote w:type="continuationSeparator" w:id="0">
    <w:p w:rsidR="00A3325B" w:rsidRDefault="00A3325B">
      <w:pPr>
        <w:spacing w:line="240" w:lineRule="auto"/>
      </w:pPr>
      <w:r>
        <w:continuationSeparator/>
      </w:r>
    </w:p>
  </w:footnote>
  <w:footnote w:id="1">
    <w:p w:rsidR="00A3325B" w:rsidRPr="00335653" w:rsidRDefault="00A3325B" w:rsidP="00B451E2">
      <w:pPr>
        <w:pStyle w:val="FootnoteText"/>
        <w:rPr>
          <w:rFonts w:cs="Arial"/>
        </w:rPr>
      </w:pPr>
      <w:r w:rsidRPr="00335653">
        <w:rPr>
          <w:rStyle w:val="FootnoteReference"/>
          <w:rFonts w:cs="Arial"/>
        </w:rPr>
        <w:footnoteRef/>
      </w:r>
      <w:r w:rsidRPr="00335653">
        <w:rPr>
          <w:rFonts w:cs="Arial"/>
        </w:rPr>
        <w:t xml:space="preserve">  CPT/Inf(96) 11, 5 March 1996, para 291; CPT/Inf(2005) 1, 4 March 2005, para 53</w:t>
      </w:r>
    </w:p>
  </w:footnote>
  <w:footnote w:id="2">
    <w:p w:rsidR="00A3325B" w:rsidRPr="00335653" w:rsidRDefault="00A3325B" w:rsidP="00B451E2">
      <w:pPr>
        <w:pStyle w:val="FootnoteText"/>
        <w:rPr>
          <w:rFonts w:cs="Arial"/>
        </w:rPr>
      </w:pPr>
      <w:r w:rsidRPr="00335653">
        <w:rPr>
          <w:rStyle w:val="FootnoteReference"/>
          <w:rFonts w:cs="Arial"/>
        </w:rPr>
        <w:footnoteRef/>
      </w:r>
      <w:hyperlink r:id="rId1" w:history="1">
        <w:r w:rsidRPr="00335653">
          <w:rPr>
            <w:rStyle w:val="Hyperlink"/>
            <w:rFonts w:cs="Arial"/>
          </w:rPr>
          <w:t>http://scottishhumanrights.com/news/latestnews/article/cadder</w:t>
        </w:r>
      </w:hyperlink>
      <w:r w:rsidRPr="00335653">
        <w:rPr>
          <w:rFonts w:cs="Arial"/>
        </w:rPr>
        <w:t xml:space="preserve">; </w:t>
      </w:r>
      <w:hyperlink r:id="rId2" w:history="1">
        <w:r w:rsidRPr="00335653">
          <w:rPr>
            <w:rStyle w:val="Hyperlink"/>
            <w:rFonts w:cs="Arial"/>
          </w:rPr>
          <w:t>http://scottishhumanrights.com/news/latestnews/article/cadderlegislationcomment</w:t>
        </w:r>
      </w:hyperlink>
      <w:r w:rsidRPr="00335653">
        <w:rPr>
          <w:rFonts w:cs="Arial"/>
        </w:rPr>
        <w:t xml:space="preserve"> </w:t>
      </w:r>
    </w:p>
    <w:p w:rsidR="00A3325B" w:rsidRPr="00335653" w:rsidRDefault="00A3325B" w:rsidP="00B451E2">
      <w:pPr>
        <w:pStyle w:val="FootnoteText"/>
        <w:rPr>
          <w:rFonts w:cs="Arial"/>
        </w:rPr>
      </w:pPr>
      <w:r w:rsidRPr="00335653">
        <w:rPr>
          <w:rFonts w:cs="Arial"/>
        </w:rPr>
        <w:t xml:space="preserve">The Commission reiterated this concern in evidence to post legislative review of the 2010 Act.  </w:t>
      </w:r>
    </w:p>
    <w:p w:rsidR="00A3325B" w:rsidRPr="00335653" w:rsidRDefault="00A3325B" w:rsidP="00B451E2">
      <w:pPr>
        <w:pStyle w:val="FootnoteText"/>
        <w:rPr>
          <w:rFonts w:cs="Arial"/>
        </w:rPr>
      </w:pPr>
      <w:r w:rsidRPr="00335653">
        <w:rPr>
          <w:rFonts w:cs="Arial"/>
        </w:rPr>
        <w:t xml:space="preserve">Scottish Parliament Justice Committee. </w:t>
      </w:r>
      <w:r w:rsidRPr="00335653">
        <w:rPr>
          <w:rFonts w:cs="Arial"/>
          <w:i/>
        </w:rPr>
        <w:t>Official Report 8 March 2011, Col </w:t>
      </w:r>
      <w:bookmarkStart w:id="1" w:name="Col4267"/>
      <w:r w:rsidRPr="00335653">
        <w:rPr>
          <w:rFonts w:cs="Arial"/>
          <w:i/>
        </w:rPr>
        <w:t>4267</w:t>
      </w:r>
      <w:bookmarkEnd w:id="1"/>
      <w:r>
        <w:rPr>
          <w:rFonts w:cs="Arial"/>
          <w:i/>
        </w:rPr>
        <w:t>.</w:t>
      </w:r>
    </w:p>
  </w:footnote>
  <w:footnote w:id="3">
    <w:p w:rsidR="00A3325B" w:rsidRPr="00335653" w:rsidRDefault="00A3325B" w:rsidP="00D62350">
      <w:pPr>
        <w:pStyle w:val="FootnoteText"/>
        <w:rPr>
          <w:rFonts w:cs="Arial"/>
        </w:rPr>
      </w:pPr>
      <w:r w:rsidRPr="00335653">
        <w:rPr>
          <w:rStyle w:val="FootnoteReference"/>
          <w:rFonts w:cs="Arial"/>
        </w:rPr>
        <w:footnoteRef/>
      </w:r>
      <w:r w:rsidRPr="00335653">
        <w:rPr>
          <w:rFonts w:cs="Arial"/>
        </w:rPr>
        <w:t xml:space="preserve"> </w:t>
      </w:r>
      <w:r w:rsidRPr="00335653">
        <w:rPr>
          <w:rFonts w:cs="Arial"/>
          <w:i/>
          <w:lang w:val="en"/>
        </w:rPr>
        <w:t>Malone v United Kingdom</w:t>
      </w:r>
      <w:r w:rsidRPr="00335653">
        <w:rPr>
          <w:rFonts w:cs="Arial"/>
          <w:lang w:val="en"/>
        </w:rPr>
        <w:t xml:space="preserve"> (1984)7 EHRR 14; </w:t>
      </w:r>
      <w:r w:rsidRPr="00335653">
        <w:rPr>
          <w:rFonts w:cs="Arial"/>
        </w:rPr>
        <w:t>(</w:t>
      </w:r>
      <w:r w:rsidRPr="00335653">
        <w:rPr>
          <w:rFonts w:cs="Arial"/>
          <w:i/>
          <w:iCs/>
        </w:rPr>
        <w:t xml:space="preserve">S. and Marper v. the United Kingdom </w:t>
      </w:r>
      <w:r w:rsidRPr="00335653">
        <w:rPr>
          <w:rFonts w:cs="Arial"/>
        </w:rPr>
        <w:t>[GC], nos. 30562/04 and 30566/04, §§.</w:t>
      </w:r>
    </w:p>
  </w:footnote>
  <w:footnote w:id="4">
    <w:p w:rsidR="00A3325B" w:rsidRPr="00335653" w:rsidRDefault="00A3325B">
      <w:pPr>
        <w:pStyle w:val="FootnoteText"/>
        <w:rPr>
          <w:rFonts w:cs="Arial"/>
        </w:rPr>
      </w:pPr>
      <w:r w:rsidRPr="00335653">
        <w:rPr>
          <w:rStyle w:val="FootnoteReference"/>
          <w:rFonts w:cs="Arial"/>
        </w:rPr>
        <w:footnoteRef/>
      </w:r>
      <w:r w:rsidRPr="00335653">
        <w:rPr>
          <w:rFonts w:cs="Arial"/>
        </w:rPr>
        <w:t xml:space="preserve"> </w:t>
      </w:r>
      <w:hyperlink r:id="rId3" w:history="1">
        <w:r w:rsidRPr="00335653">
          <w:rPr>
            <w:rStyle w:val="Hyperlink"/>
            <w:rFonts w:cs="Arial"/>
          </w:rPr>
          <w:t>http://www.scottishhumanrights.com/actionplan/evidence</w:t>
        </w:r>
      </w:hyperlink>
    </w:p>
  </w:footnote>
  <w:footnote w:id="5">
    <w:p w:rsidR="00A3325B" w:rsidRPr="00335653" w:rsidRDefault="00A3325B" w:rsidP="00AE46A7">
      <w:pPr>
        <w:pStyle w:val="FootnoteText"/>
        <w:rPr>
          <w:rFonts w:cs="Arial"/>
        </w:rPr>
      </w:pPr>
      <w:r w:rsidRPr="00335653">
        <w:rPr>
          <w:rStyle w:val="FootnoteReference"/>
          <w:rFonts w:cs="Arial"/>
        </w:rPr>
        <w:footnoteRef/>
      </w:r>
      <w:r w:rsidRPr="00335653">
        <w:rPr>
          <w:rFonts w:cs="Arial"/>
        </w:rPr>
        <w:t xml:space="preserve"> See for example, </w:t>
      </w:r>
      <w:r w:rsidRPr="00335653">
        <w:rPr>
          <w:rFonts w:cs="Arial"/>
          <w:i/>
        </w:rPr>
        <w:t>Allan v United Kingdom</w:t>
      </w:r>
      <w:r w:rsidRPr="00335653">
        <w:rPr>
          <w:rFonts w:cs="Arial"/>
        </w:rPr>
        <w:t xml:space="preserve"> (App. No. 48539/99), para.43.</w:t>
      </w:r>
    </w:p>
  </w:footnote>
  <w:footnote w:id="6">
    <w:p w:rsidR="00A3325B" w:rsidRPr="00335653" w:rsidRDefault="00A3325B" w:rsidP="002B7B82">
      <w:pPr>
        <w:pStyle w:val="FootnoteText"/>
        <w:rPr>
          <w:rFonts w:cs="Arial"/>
        </w:rPr>
      </w:pPr>
      <w:r w:rsidRPr="00335653">
        <w:rPr>
          <w:rStyle w:val="FootnoteReference"/>
          <w:rFonts w:cs="Arial"/>
        </w:rPr>
        <w:footnoteRef/>
      </w:r>
      <w:r w:rsidRPr="00335653">
        <w:rPr>
          <w:rFonts w:cs="Arial"/>
        </w:rPr>
        <w:t xml:space="preserve"> </w:t>
      </w:r>
      <w:r w:rsidRPr="00335653">
        <w:rPr>
          <w:rStyle w:val="s6b621b36"/>
          <w:rFonts w:cs="Arial"/>
        </w:rPr>
        <w:t xml:space="preserve">Applications nos. 26766/05 and 22228/06, </w:t>
      </w:r>
      <w:r w:rsidRPr="00335653">
        <w:rPr>
          <w:rStyle w:val="sb8d990e2"/>
          <w:rFonts w:cs="Arial"/>
        </w:rPr>
        <w:t xml:space="preserve">Grand Chamber </w:t>
      </w:r>
      <w:r w:rsidRPr="00335653">
        <w:rPr>
          <w:rStyle w:val="s6b621b36"/>
          <w:rFonts w:cs="Arial"/>
        </w:rPr>
        <w:t>judgment 15 December 2011</w:t>
      </w:r>
      <w:r w:rsidRPr="00335653">
        <w:rPr>
          <w:rFonts w:cs="Arial"/>
        </w:rPr>
        <w:t>, para.147.</w:t>
      </w:r>
    </w:p>
  </w:footnote>
  <w:footnote w:id="7">
    <w:p w:rsidR="00A3325B" w:rsidRPr="00335653" w:rsidRDefault="00A3325B" w:rsidP="002B7B82">
      <w:pPr>
        <w:pStyle w:val="FootnoteText"/>
        <w:rPr>
          <w:rFonts w:cs="Arial"/>
        </w:rPr>
      </w:pPr>
      <w:r w:rsidRPr="00335653">
        <w:rPr>
          <w:rStyle w:val="FootnoteReference"/>
          <w:rFonts w:cs="Arial"/>
        </w:rPr>
        <w:footnoteRef/>
      </w:r>
      <w:r w:rsidRPr="00335653">
        <w:rPr>
          <w:rFonts w:cs="Arial"/>
        </w:rPr>
        <w:t xml:space="preserve"> See paras.148-151.</w:t>
      </w:r>
    </w:p>
  </w:footnote>
  <w:footnote w:id="8">
    <w:p w:rsidR="00A3325B" w:rsidRPr="00335653" w:rsidRDefault="00A3325B" w:rsidP="00E30B91">
      <w:pPr>
        <w:pStyle w:val="FootnoteText"/>
        <w:rPr>
          <w:rFonts w:cs="Arial"/>
        </w:rPr>
      </w:pPr>
      <w:r w:rsidRPr="00335653">
        <w:rPr>
          <w:rStyle w:val="FootnoteReference"/>
          <w:rFonts w:cs="Arial"/>
        </w:rPr>
        <w:footnoteRef/>
      </w:r>
      <w:r w:rsidRPr="00335653">
        <w:rPr>
          <w:rFonts w:cs="Arial"/>
        </w:rPr>
        <w:t xml:space="preserve"> </w:t>
      </w:r>
      <w:r w:rsidRPr="00335653">
        <w:rPr>
          <w:rFonts w:cs="Arial"/>
          <w:i/>
        </w:rPr>
        <w:t>Papadakis v The Former Yugoslav Republic of Macedonia</w:t>
      </w:r>
      <w:r w:rsidRPr="00335653">
        <w:rPr>
          <w:rFonts w:cs="Arial"/>
        </w:rPr>
        <w:t>, App. No. 50254/07.</w:t>
      </w:r>
    </w:p>
  </w:footnote>
  <w:footnote w:id="9">
    <w:p w:rsidR="00A3325B" w:rsidRPr="00335653" w:rsidRDefault="00A3325B" w:rsidP="00E30B91">
      <w:pPr>
        <w:pStyle w:val="FootnoteText"/>
        <w:rPr>
          <w:rFonts w:cs="Arial"/>
        </w:rPr>
      </w:pPr>
      <w:r w:rsidRPr="00335653">
        <w:rPr>
          <w:rStyle w:val="FootnoteReference"/>
          <w:rFonts w:cs="Arial"/>
        </w:rPr>
        <w:footnoteRef/>
      </w:r>
      <w:r w:rsidRPr="00335653">
        <w:rPr>
          <w:rFonts w:cs="Arial"/>
        </w:rPr>
        <w:t xml:space="preserve"> 2003 </w:t>
      </w:r>
      <w:proofErr w:type="spellStart"/>
      <w:r w:rsidRPr="00335653">
        <w:rPr>
          <w:rFonts w:cs="Arial"/>
        </w:rPr>
        <w:t>JC</w:t>
      </w:r>
      <w:proofErr w:type="spellEnd"/>
      <w:r w:rsidRPr="00335653">
        <w:rPr>
          <w:rFonts w:cs="Arial"/>
        </w:rPr>
        <w:t xml:space="preserve"> 140, </w:t>
      </w:r>
      <w:proofErr w:type="spellStart"/>
      <w:r w:rsidRPr="00335653">
        <w:rPr>
          <w:rFonts w:cs="Arial"/>
        </w:rPr>
        <w:t>para</w:t>
      </w:r>
      <w:proofErr w:type="spellEnd"/>
      <w:r>
        <w:rPr>
          <w:rFonts w:cs="Arial"/>
        </w:rPr>
        <w:t xml:space="preserve"> </w:t>
      </w:r>
      <w:r w:rsidRPr="00335653">
        <w:rPr>
          <w:rFonts w:cs="Arial"/>
        </w:rPr>
        <w:t>22.</w:t>
      </w:r>
    </w:p>
  </w:footnote>
  <w:footnote w:id="10">
    <w:p w:rsidR="00A3325B" w:rsidRPr="00335653" w:rsidRDefault="00A3325B" w:rsidP="00E30B91">
      <w:pPr>
        <w:pStyle w:val="FootnoteText"/>
        <w:rPr>
          <w:rFonts w:cs="Arial"/>
        </w:rPr>
      </w:pPr>
      <w:r w:rsidRPr="00335653">
        <w:rPr>
          <w:rStyle w:val="FootnoteReference"/>
          <w:rFonts w:cs="Arial"/>
        </w:rPr>
        <w:footnoteRef/>
      </w:r>
      <w:r w:rsidRPr="00335653">
        <w:rPr>
          <w:rFonts w:cs="Arial"/>
        </w:rPr>
        <w:t xml:space="preserve"> See para. 27.</w:t>
      </w:r>
    </w:p>
  </w:footnote>
  <w:footnote w:id="11">
    <w:p w:rsidR="00A3325B" w:rsidRPr="00335653" w:rsidRDefault="00A3325B" w:rsidP="00E30B91">
      <w:pPr>
        <w:pStyle w:val="FootnoteText"/>
        <w:rPr>
          <w:rFonts w:cs="Arial"/>
        </w:rPr>
      </w:pPr>
      <w:r w:rsidRPr="00335653">
        <w:rPr>
          <w:rStyle w:val="FootnoteReference"/>
          <w:rFonts w:cs="Arial"/>
        </w:rPr>
        <w:footnoteRef/>
      </w:r>
      <w:r w:rsidRPr="00335653">
        <w:rPr>
          <w:rFonts w:cs="Arial"/>
        </w:rPr>
        <w:t xml:space="preserve"> As indicated by Lord Gill in </w:t>
      </w:r>
      <w:r w:rsidRPr="00335653">
        <w:rPr>
          <w:rFonts w:cs="Arial"/>
          <w:i/>
        </w:rPr>
        <w:t>N v HMA</w:t>
      </w:r>
      <w:r w:rsidRPr="00335653">
        <w:rPr>
          <w:rFonts w:cs="Arial"/>
        </w:rPr>
        <w:t xml:space="preserve">, paras. 35-36. </w:t>
      </w:r>
    </w:p>
  </w:footnote>
  <w:footnote w:id="12">
    <w:p w:rsidR="00A3325B" w:rsidRPr="00335653" w:rsidRDefault="00A3325B" w:rsidP="00886F89">
      <w:pPr>
        <w:pStyle w:val="Default"/>
        <w:rPr>
          <w:rFonts w:ascii="Arial" w:hAnsi="Arial" w:cs="Arial"/>
          <w:sz w:val="20"/>
          <w:szCs w:val="20"/>
        </w:rPr>
      </w:pPr>
      <w:r w:rsidRPr="00335653">
        <w:rPr>
          <w:rStyle w:val="FootnoteReference"/>
          <w:rFonts w:ascii="Arial" w:hAnsi="Arial" w:cs="Arial"/>
          <w:sz w:val="20"/>
          <w:szCs w:val="20"/>
        </w:rPr>
        <w:footnoteRef/>
      </w:r>
      <w:r w:rsidRPr="00335653">
        <w:rPr>
          <w:rFonts w:ascii="Arial" w:hAnsi="Arial" w:cs="Arial"/>
          <w:sz w:val="20"/>
          <w:szCs w:val="20"/>
        </w:rPr>
        <w:t xml:space="preserve"> Special Rapporteur on torture and other cruel, inhuman or degrading treatment or punishment, 17 December 2002, E/CN.4/2003/68, para. 26(g). </w:t>
      </w:r>
    </w:p>
  </w:footnote>
  <w:footnote w:id="13">
    <w:p w:rsidR="00A3325B" w:rsidRPr="00335653" w:rsidRDefault="00A3325B">
      <w:pPr>
        <w:pStyle w:val="FootnoteText"/>
        <w:rPr>
          <w:rFonts w:cs="Arial"/>
        </w:rPr>
      </w:pPr>
      <w:r w:rsidRPr="00335653">
        <w:rPr>
          <w:rStyle w:val="FootnoteReference"/>
          <w:rFonts w:cs="Arial"/>
        </w:rPr>
        <w:footnoteRef/>
      </w:r>
      <w:r w:rsidRPr="00335653">
        <w:rPr>
          <w:rFonts w:cs="Arial"/>
        </w:rPr>
        <w:t xml:space="preserve"> </w:t>
      </w:r>
      <w:r w:rsidRPr="00335653">
        <w:rPr>
          <w:rFonts w:cs="Arial"/>
          <w:color w:val="000000"/>
        </w:rPr>
        <w:t>European Committee for the Prevention of Torture (CPT) Standards, [CPT/Inf/E (2002) 1 – Rev. 2011], para. 36, p9.</w:t>
      </w:r>
    </w:p>
  </w:footnote>
  <w:footnote w:id="14">
    <w:p w:rsidR="00A3325B" w:rsidRPr="00335653" w:rsidRDefault="00A3325B" w:rsidP="00334E18">
      <w:pPr>
        <w:pStyle w:val="Default"/>
        <w:rPr>
          <w:rFonts w:ascii="Arial" w:hAnsi="Arial" w:cs="Arial"/>
          <w:sz w:val="20"/>
          <w:szCs w:val="20"/>
        </w:rPr>
      </w:pPr>
      <w:r w:rsidRPr="00335653">
        <w:rPr>
          <w:rStyle w:val="FootnoteReference"/>
          <w:rFonts w:ascii="Arial" w:hAnsi="Arial" w:cs="Arial"/>
          <w:sz w:val="20"/>
          <w:szCs w:val="20"/>
        </w:rPr>
        <w:footnoteRef/>
      </w:r>
      <w:r w:rsidRPr="00335653">
        <w:rPr>
          <w:rFonts w:ascii="Arial" w:hAnsi="Arial" w:cs="Arial"/>
          <w:sz w:val="20"/>
          <w:szCs w:val="20"/>
        </w:rPr>
        <w:t xml:space="preserve"> See: </w:t>
      </w:r>
      <w:r w:rsidRPr="00335653">
        <w:rPr>
          <w:rFonts w:ascii="Arial" w:hAnsi="Arial" w:cs="Arial"/>
          <w:sz w:val="20"/>
          <w:szCs w:val="20"/>
          <w:lang w:eastAsia="en-US"/>
        </w:rPr>
        <w:t xml:space="preserve">Video recording in police custody: Addressing risk factors to prevent torture and ill-treatment, </w:t>
      </w:r>
      <w:r w:rsidRPr="00335653">
        <w:rPr>
          <w:rFonts w:ascii="Arial" w:hAnsi="Arial" w:cs="Arial"/>
          <w:sz w:val="20"/>
          <w:szCs w:val="20"/>
        </w:rPr>
        <w:t>Penal Reform International and the Association for the Prevention of Torture (APT) 2013.</w:t>
      </w:r>
    </w:p>
  </w:footnote>
  <w:footnote w:id="15">
    <w:p w:rsidR="00A3325B" w:rsidRPr="00335653" w:rsidRDefault="00A3325B" w:rsidP="00AE03B4">
      <w:pPr>
        <w:pStyle w:val="FootnoteText"/>
        <w:rPr>
          <w:rFonts w:cs="Arial"/>
        </w:rPr>
      </w:pPr>
      <w:r w:rsidRPr="00335653">
        <w:rPr>
          <w:rStyle w:val="FootnoteReference"/>
          <w:rFonts w:cs="Arial"/>
        </w:rPr>
        <w:footnoteRef/>
      </w:r>
      <w:r w:rsidRPr="00335653">
        <w:rPr>
          <w:rFonts w:cs="Arial"/>
        </w:rPr>
        <w:t xml:space="preserve"> </w:t>
      </w:r>
      <w:r w:rsidRPr="00335653">
        <w:rPr>
          <w:rFonts w:cs="Arial"/>
          <w:i/>
        </w:rPr>
        <w:t>Al-Khawaja &amp; Tahery v United Kingdom</w:t>
      </w:r>
      <w:r w:rsidRPr="00335653">
        <w:rPr>
          <w:rFonts w:cs="Arial"/>
        </w:rPr>
        <w:t>, para.165.</w:t>
      </w:r>
    </w:p>
  </w:footnote>
  <w:footnote w:id="16">
    <w:p w:rsidR="00A3325B" w:rsidRPr="00335653" w:rsidRDefault="00A3325B" w:rsidP="00335653">
      <w:pPr>
        <w:pStyle w:val="FootnoteText"/>
        <w:rPr>
          <w:rFonts w:cs="Arial"/>
        </w:rPr>
      </w:pPr>
      <w:r w:rsidRPr="00335653">
        <w:rPr>
          <w:rStyle w:val="FootnoteReference"/>
          <w:rFonts w:cs="Arial"/>
        </w:rPr>
        <w:footnoteRef/>
      </w:r>
      <w:r w:rsidRPr="00335653">
        <w:rPr>
          <w:rFonts w:cs="Arial"/>
        </w:rPr>
        <w:t xml:space="preserve"> App. No. 22399/93</w:t>
      </w:r>
    </w:p>
  </w:footnote>
  <w:footnote w:id="17">
    <w:p w:rsidR="00A3325B" w:rsidRPr="00335653" w:rsidRDefault="00A3325B" w:rsidP="0046609C">
      <w:pPr>
        <w:pStyle w:val="FootnoteText"/>
        <w:rPr>
          <w:rFonts w:cs="Arial"/>
          <w:lang w:val="pl-PL"/>
        </w:rPr>
      </w:pPr>
      <w:r w:rsidRPr="00335653">
        <w:rPr>
          <w:rStyle w:val="FootnoteReference"/>
          <w:rFonts w:cs="Arial"/>
        </w:rPr>
        <w:footnoteRef/>
      </w:r>
      <w:r w:rsidRPr="00335653">
        <w:rPr>
          <w:rFonts w:cs="Arial"/>
          <w:lang w:val="pl-PL"/>
        </w:rPr>
        <w:t xml:space="preserve"> </w:t>
      </w:r>
      <w:r w:rsidRPr="00335653">
        <w:rPr>
          <w:rFonts w:cs="Arial"/>
          <w:i/>
          <w:lang w:val="pl-PL"/>
        </w:rPr>
        <w:t>Sekanina v Austria</w:t>
      </w:r>
      <w:r w:rsidRPr="00335653">
        <w:rPr>
          <w:rFonts w:cs="Arial"/>
          <w:lang w:val="pl-PL"/>
        </w:rPr>
        <w:t xml:space="preserve"> App. No. 13126/87.</w:t>
      </w:r>
    </w:p>
  </w:footnote>
  <w:footnote w:id="18">
    <w:p w:rsidR="00A3325B" w:rsidRPr="00335653" w:rsidRDefault="00A3325B" w:rsidP="0046609C">
      <w:pPr>
        <w:pStyle w:val="FootnoteText"/>
        <w:rPr>
          <w:rFonts w:cs="Arial"/>
        </w:rPr>
      </w:pPr>
      <w:r w:rsidRPr="00335653">
        <w:rPr>
          <w:rStyle w:val="FootnoteReference"/>
          <w:rFonts w:cs="Arial"/>
        </w:rPr>
        <w:footnoteRef/>
      </w:r>
      <w:r w:rsidRPr="00335653">
        <w:rPr>
          <w:rFonts w:cs="Arial"/>
        </w:rPr>
        <w:t xml:space="preserve"> </w:t>
      </w:r>
      <w:proofErr w:type="spellStart"/>
      <w:r w:rsidRPr="00335653">
        <w:rPr>
          <w:rFonts w:cs="Arial"/>
        </w:rPr>
        <w:t>Paras</w:t>
      </w:r>
      <w:proofErr w:type="spellEnd"/>
      <w:r w:rsidRPr="00335653">
        <w:rPr>
          <w:rFonts w:cs="Arial"/>
        </w:rPr>
        <w:t xml:space="preserve"> 29-30.</w:t>
      </w:r>
    </w:p>
  </w:footnote>
  <w:footnote w:id="19">
    <w:p w:rsidR="00A3325B" w:rsidRPr="00335653" w:rsidRDefault="00A3325B" w:rsidP="0046609C">
      <w:pPr>
        <w:pStyle w:val="FootnoteText"/>
        <w:rPr>
          <w:rFonts w:cs="Arial"/>
        </w:rPr>
      </w:pPr>
      <w:r w:rsidRPr="00335653">
        <w:rPr>
          <w:rStyle w:val="FootnoteReference"/>
          <w:rFonts w:cs="Arial"/>
        </w:rPr>
        <w:footnoteRef/>
      </w:r>
      <w:r w:rsidRPr="00335653">
        <w:rPr>
          <w:rFonts w:cs="Arial"/>
        </w:rPr>
        <w:t xml:space="preserve"> App. No. 28389/95. </w:t>
      </w:r>
    </w:p>
  </w:footnote>
  <w:footnote w:id="20">
    <w:p w:rsidR="00A3325B" w:rsidRPr="00335653" w:rsidRDefault="00A3325B" w:rsidP="0046609C">
      <w:pPr>
        <w:pStyle w:val="FootnoteText"/>
        <w:rPr>
          <w:rFonts w:cs="Arial"/>
        </w:rPr>
      </w:pPr>
      <w:r w:rsidRPr="00335653">
        <w:rPr>
          <w:rStyle w:val="FootnoteReference"/>
          <w:rFonts w:cs="Arial"/>
        </w:rPr>
        <w:footnoteRef/>
      </w:r>
      <w:r w:rsidRPr="00335653">
        <w:rPr>
          <w:rFonts w:cs="Arial"/>
        </w:rPr>
        <w:t xml:space="preserve"> See </w:t>
      </w:r>
      <w:proofErr w:type="spellStart"/>
      <w:r w:rsidRPr="00335653">
        <w:rPr>
          <w:rFonts w:cs="Arial"/>
        </w:rPr>
        <w:t>para.31</w:t>
      </w:r>
      <w:proofErr w:type="spellEnd"/>
      <w:r w:rsidRPr="00335653">
        <w:rPr>
          <w:rFonts w:cs="Arial"/>
        </w:rPr>
        <w:t>.</w:t>
      </w:r>
    </w:p>
  </w:footnote>
  <w:footnote w:id="21">
    <w:p w:rsidR="00A3325B" w:rsidRPr="00335653" w:rsidRDefault="00A3325B" w:rsidP="0046609C">
      <w:pPr>
        <w:pStyle w:val="FootnoteText"/>
        <w:rPr>
          <w:rFonts w:cs="Arial"/>
        </w:rPr>
      </w:pPr>
      <w:r w:rsidRPr="00335653">
        <w:rPr>
          <w:rStyle w:val="FootnoteReference"/>
          <w:rFonts w:cs="Arial"/>
        </w:rPr>
        <w:footnoteRef/>
      </w:r>
      <w:r w:rsidRPr="00335653">
        <w:rPr>
          <w:rFonts w:cs="Arial"/>
        </w:rPr>
        <w:t xml:space="preserve"> App. No. 33730/96.</w:t>
      </w:r>
    </w:p>
  </w:footnote>
  <w:footnote w:id="22">
    <w:p w:rsidR="00A3325B" w:rsidRPr="00335653" w:rsidRDefault="00A3325B" w:rsidP="0046609C">
      <w:pPr>
        <w:pStyle w:val="FootnoteText"/>
        <w:rPr>
          <w:rFonts w:cs="Arial"/>
        </w:rPr>
      </w:pPr>
      <w:r w:rsidRPr="00335653">
        <w:rPr>
          <w:rStyle w:val="FootnoteReference"/>
          <w:rFonts w:cs="Arial"/>
        </w:rPr>
        <w:footnoteRef/>
      </w:r>
      <w:r w:rsidRPr="00335653">
        <w:rPr>
          <w:rFonts w:cs="Arial"/>
        </w:rPr>
        <w:t xml:space="preserve"> See </w:t>
      </w:r>
      <w:proofErr w:type="spellStart"/>
      <w:r w:rsidRPr="00335653">
        <w:rPr>
          <w:rFonts w:cs="Arial"/>
        </w:rPr>
        <w:t>paras.21</w:t>
      </w:r>
      <w:proofErr w:type="spellEnd"/>
      <w:r w:rsidRPr="00335653">
        <w:rPr>
          <w:rFonts w:cs="Arial"/>
        </w:rPr>
        <w:t>-31.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5B" w:rsidRPr="0067486A" w:rsidRDefault="00A3325B"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69363D9"/>
    <w:multiLevelType w:val="hybridMultilevel"/>
    <w:tmpl w:val="7EBC8658"/>
    <w:lvl w:ilvl="0" w:tplc="0F020E6C">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706F81"/>
    <w:multiLevelType w:val="hybridMultilevel"/>
    <w:tmpl w:val="F4088D2A"/>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nsid w:val="447F00CE"/>
    <w:multiLevelType w:val="hybridMultilevel"/>
    <w:tmpl w:val="FAA644C6"/>
    <w:lvl w:ilvl="0" w:tplc="0F020E6C">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0"/>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EF"/>
    <w:rsid w:val="00004093"/>
    <w:rsid w:val="000307CD"/>
    <w:rsid w:val="00040449"/>
    <w:rsid w:val="00053010"/>
    <w:rsid w:val="000D697F"/>
    <w:rsid w:val="000E2A92"/>
    <w:rsid w:val="000F4032"/>
    <w:rsid w:val="00100021"/>
    <w:rsid w:val="001267F7"/>
    <w:rsid w:val="00157346"/>
    <w:rsid w:val="00160C47"/>
    <w:rsid w:val="00192DC7"/>
    <w:rsid w:val="001C5E36"/>
    <w:rsid w:val="001E14BF"/>
    <w:rsid w:val="002B0B04"/>
    <w:rsid w:val="002B13F0"/>
    <w:rsid w:val="002B7B82"/>
    <w:rsid w:val="002E71EF"/>
    <w:rsid w:val="002F3688"/>
    <w:rsid w:val="002F5ACA"/>
    <w:rsid w:val="002F5C00"/>
    <w:rsid w:val="003065B6"/>
    <w:rsid w:val="00334E18"/>
    <w:rsid w:val="00335653"/>
    <w:rsid w:val="00345BE5"/>
    <w:rsid w:val="003D1555"/>
    <w:rsid w:val="003F2479"/>
    <w:rsid w:val="00411FC4"/>
    <w:rsid w:val="00415340"/>
    <w:rsid w:val="0046609C"/>
    <w:rsid w:val="004B6553"/>
    <w:rsid w:val="004C1C1D"/>
    <w:rsid w:val="004F53DB"/>
    <w:rsid w:val="004F554A"/>
    <w:rsid w:val="00524A43"/>
    <w:rsid w:val="005426D7"/>
    <w:rsid w:val="005C3768"/>
    <w:rsid w:val="005F2EB1"/>
    <w:rsid w:val="005F7BFA"/>
    <w:rsid w:val="00657E75"/>
    <w:rsid w:val="0066074F"/>
    <w:rsid w:val="0067486A"/>
    <w:rsid w:val="006852BB"/>
    <w:rsid w:val="006919C5"/>
    <w:rsid w:val="0069453E"/>
    <w:rsid w:val="006B7755"/>
    <w:rsid w:val="006D21F2"/>
    <w:rsid w:val="006D26F7"/>
    <w:rsid w:val="00711AD5"/>
    <w:rsid w:val="0076537D"/>
    <w:rsid w:val="0079576D"/>
    <w:rsid w:val="007B24DB"/>
    <w:rsid w:val="007C07D3"/>
    <w:rsid w:val="00850940"/>
    <w:rsid w:val="00867A9A"/>
    <w:rsid w:val="00886F89"/>
    <w:rsid w:val="008932BB"/>
    <w:rsid w:val="00895C61"/>
    <w:rsid w:val="008F2ACF"/>
    <w:rsid w:val="00901C4C"/>
    <w:rsid w:val="00905BDB"/>
    <w:rsid w:val="009232EF"/>
    <w:rsid w:val="00927650"/>
    <w:rsid w:val="0093668D"/>
    <w:rsid w:val="00952710"/>
    <w:rsid w:val="00972F34"/>
    <w:rsid w:val="00991AFB"/>
    <w:rsid w:val="009A36F8"/>
    <w:rsid w:val="009B1A37"/>
    <w:rsid w:val="009B4ED4"/>
    <w:rsid w:val="009E5E12"/>
    <w:rsid w:val="009F71B8"/>
    <w:rsid w:val="00A17789"/>
    <w:rsid w:val="00A2720C"/>
    <w:rsid w:val="00A3325B"/>
    <w:rsid w:val="00A43DDC"/>
    <w:rsid w:val="00A56EBA"/>
    <w:rsid w:val="00A7151F"/>
    <w:rsid w:val="00A82E32"/>
    <w:rsid w:val="00A90A53"/>
    <w:rsid w:val="00AB54FF"/>
    <w:rsid w:val="00AC310B"/>
    <w:rsid w:val="00AD0187"/>
    <w:rsid w:val="00AD7393"/>
    <w:rsid w:val="00AE01CB"/>
    <w:rsid w:val="00AE03B4"/>
    <w:rsid w:val="00AE0EF7"/>
    <w:rsid w:val="00AE46A7"/>
    <w:rsid w:val="00B27989"/>
    <w:rsid w:val="00B451E2"/>
    <w:rsid w:val="00B6081A"/>
    <w:rsid w:val="00B811F2"/>
    <w:rsid w:val="00B929A7"/>
    <w:rsid w:val="00BB7060"/>
    <w:rsid w:val="00BC4F7E"/>
    <w:rsid w:val="00BF726E"/>
    <w:rsid w:val="00C021C2"/>
    <w:rsid w:val="00C4589B"/>
    <w:rsid w:val="00C6128F"/>
    <w:rsid w:val="00C67821"/>
    <w:rsid w:val="00C86FBA"/>
    <w:rsid w:val="00CB7BF2"/>
    <w:rsid w:val="00CC4D25"/>
    <w:rsid w:val="00D501B4"/>
    <w:rsid w:val="00D62350"/>
    <w:rsid w:val="00D70D6E"/>
    <w:rsid w:val="00D90C32"/>
    <w:rsid w:val="00DA1572"/>
    <w:rsid w:val="00DA530A"/>
    <w:rsid w:val="00DC23EA"/>
    <w:rsid w:val="00DD4F94"/>
    <w:rsid w:val="00DF0D90"/>
    <w:rsid w:val="00E30B91"/>
    <w:rsid w:val="00E3599D"/>
    <w:rsid w:val="00E36759"/>
    <w:rsid w:val="00F009E6"/>
    <w:rsid w:val="00F24962"/>
    <w:rsid w:val="00F37C91"/>
    <w:rsid w:val="00F45177"/>
    <w:rsid w:val="00F57D64"/>
    <w:rsid w:val="00F74CA7"/>
    <w:rsid w:val="00F928EE"/>
    <w:rsid w:val="00FC0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B811F2"/>
    <w:rPr>
      <w:color w:val="0000FF" w:themeColor="hyperlink"/>
      <w:u w:val="single"/>
    </w:rPr>
  </w:style>
  <w:style w:type="character" w:customStyle="1" w:styleId="sfbbfee58">
    <w:name w:val="sfbbfee58"/>
    <w:basedOn w:val="DefaultParagraphFont"/>
    <w:rsid w:val="004B6553"/>
  </w:style>
  <w:style w:type="paragraph" w:customStyle="1" w:styleId="Default">
    <w:name w:val="Default"/>
    <w:rsid w:val="004B6553"/>
    <w:pPr>
      <w:autoSpaceDE w:val="0"/>
      <w:autoSpaceDN w:val="0"/>
      <w:adjustRightInd w:val="0"/>
    </w:pPr>
    <w:rPr>
      <w:rFonts w:ascii="Times New Roman" w:hAnsi="Times New Roman"/>
      <w:color w:val="000000"/>
      <w:szCs w:val="24"/>
    </w:rPr>
  </w:style>
  <w:style w:type="paragraph" w:styleId="FootnoteText">
    <w:name w:val="footnote text"/>
    <w:aliases w:val="Footnote Text Char Char,Footnote Text Char1 Char Char,Footnote Text Char Char Char Char,Footnote Text Char Char1,Footnote Text Char1 Char,Footnote Text Char Char Char,Footnote Text Char1 Char Char Char Char,Char,Footnote Text Char1, Char,C"/>
    <w:basedOn w:val="Normal"/>
    <w:link w:val="FootnoteTextChar"/>
    <w:unhideWhenUsed/>
    <w:rsid w:val="004B6553"/>
    <w:pPr>
      <w:spacing w:line="240" w:lineRule="auto"/>
    </w:pPr>
    <w:rPr>
      <w:sz w:val="20"/>
    </w:rPr>
  </w:style>
  <w:style w:type="character" w:customStyle="1" w:styleId="FootnoteTextChar">
    <w:name w:val="Footnote Text Char"/>
    <w:aliases w:val="Footnote Text Char Char Char1,Footnote Text Char1 Char Char Char,Footnote Text Char Char Char Char Char,Footnote Text Char Char1 Char,Footnote Text Char1 Char Char1,Footnote Text Char Char Char Char1,Char Char, Char Char,C Char"/>
    <w:basedOn w:val="DefaultParagraphFont"/>
    <w:link w:val="FootnoteText"/>
    <w:rsid w:val="004B6553"/>
    <w:rPr>
      <w:sz w:val="20"/>
      <w:lang w:eastAsia="en-US"/>
    </w:rPr>
  </w:style>
  <w:style w:type="character" w:styleId="FootnoteReference">
    <w:name w:val="footnote reference"/>
    <w:aliases w:val="Footnotes refss,Footnote Reference in text,Footnote Reference Superscript,callout"/>
    <w:basedOn w:val="DefaultParagraphFont"/>
    <w:unhideWhenUsed/>
    <w:rsid w:val="004B6553"/>
    <w:rPr>
      <w:vertAlign w:val="superscript"/>
    </w:rPr>
  </w:style>
  <w:style w:type="character" w:customStyle="1" w:styleId="s6b621b36">
    <w:name w:val="s6b621b36"/>
    <w:basedOn w:val="DefaultParagraphFont"/>
    <w:rsid w:val="002B7B82"/>
  </w:style>
  <w:style w:type="character" w:customStyle="1" w:styleId="sb8d990e2">
    <w:name w:val="sb8d990e2"/>
    <w:basedOn w:val="DefaultParagraphFont"/>
    <w:rsid w:val="002B7B82"/>
  </w:style>
  <w:style w:type="character" w:styleId="FollowedHyperlink">
    <w:name w:val="FollowedHyperlink"/>
    <w:basedOn w:val="DefaultParagraphFont"/>
    <w:uiPriority w:val="99"/>
    <w:semiHidden/>
    <w:unhideWhenUsed/>
    <w:rsid w:val="00C021C2"/>
    <w:rPr>
      <w:color w:val="800080" w:themeColor="followedHyperlink"/>
      <w:u w:val="single"/>
    </w:rPr>
  </w:style>
  <w:style w:type="paragraph" w:customStyle="1" w:styleId="Pa5">
    <w:name w:val="Pa5"/>
    <w:basedOn w:val="Default"/>
    <w:next w:val="Default"/>
    <w:uiPriority w:val="99"/>
    <w:rsid w:val="00F009E6"/>
    <w:pPr>
      <w:spacing w:line="201" w:lineRule="atLeast"/>
    </w:pPr>
    <w:rPr>
      <w:rFonts w:ascii="HelveticaNeueLT Std" w:hAnsi="HelveticaNeueLT Std"/>
      <w:color w:val="auto"/>
    </w:rPr>
  </w:style>
  <w:style w:type="character" w:customStyle="1" w:styleId="A5">
    <w:name w:val="A5"/>
    <w:uiPriority w:val="99"/>
    <w:rsid w:val="00F009E6"/>
    <w:rPr>
      <w:rFonts w:cs="HelveticaNeueLT Std"/>
      <w:color w:val="000000"/>
      <w:sz w:val="11"/>
      <w:szCs w:val="11"/>
    </w:rPr>
  </w:style>
  <w:style w:type="paragraph" w:customStyle="1" w:styleId="Pa13">
    <w:name w:val="Pa13"/>
    <w:basedOn w:val="Default"/>
    <w:next w:val="Default"/>
    <w:uiPriority w:val="99"/>
    <w:rsid w:val="00F009E6"/>
    <w:pPr>
      <w:spacing w:line="201" w:lineRule="atLeast"/>
    </w:pPr>
    <w:rPr>
      <w:rFonts w:ascii="HelveticaNeueLT Std" w:hAnsi="HelveticaNeueLT Std"/>
      <w:color w:val="auto"/>
    </w:rPr>
  </w:style>
  <w:style w:type="paragraph" w:styleId="BalloonText">
    <w:name w:val="Balloon Text"/>
    <w:basedOn w:val="Normal"/>
    <w:link w:val="BalloonTextChar"/>
    <w:uiPriority w:val="99"/>
    <w:semiHidden/>
    <w:unhideWhenUsed/>
    <w:rsid w:val="004153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34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B811F2"/>
    <w:rPr>
      <w:color w:val="0000FF" w:themeColor="hyperlink"/>
      <w:u w:val="single"/>
    </w:rPr>
  </w:style>
  <w:style w:type="character" w:customStyle="1" w:styleId="sfbbfee58">
    <w:name w:val="sfbbfee58"/>
    <w:basedOn w:val="DefaultParagraphFont"/>
    <w:rsid w:val="004B6553"/>
  </w:style>
  <w:style w:type="paragraph" w:customStyle="1" w:styleId="Default">
    <w:name w:val="Default"/>
    <w:rsid w:val="004B6553"/>
    <w:pPr>
      <w:autoSpaceDE w:val="0"/>
      <w:autoSpaceDN w:val="0"/>
      <w:adjustRightInd w:val="0"/>
    </w:pPr>
    <w:rPr>
      <w:rFonts w:ascii="Times New Roman" w:hAnsi="Times New Roman"/>
      <w:color w:val="000000"/>
      <w:szCs w:val="24"/>
    </w:rPr>
  </w:style>
  <w:style w:type="paragraph" w:styleId="FootnoteText">
    <w:name w:val="footnote text"/>
    <w:aliases w:val="Footnote Text Char Char,Footnote Text Char1 Char Char,Footnote Text Char Char Char Char,Footnote Text Char Char1,Footnote Text Char1 Char,Footnote Text Char Char Char,Footnote Text Char1 Char Char Char Char,Char,Footnote Text Char1, Char,C"/>
    <w:basedOn w:val="Normal"/>
    <w:link w:val="FootnoteTextChar"/>
    <w:unhideWhenUsed/>
    <w:rsid w:val="004B6553"/>
    <w:pPr>
      <w:spacing w:line="240" w:lineRule="auto"/>
    </w:pPr>
    <w:rPr>
      <w:sz w:val="20"/>
    </w:rPr>
  </w:style>
  <w:style w:type="character" w:customStyle="1" w:styleId="FootnoteTextChar">
    <w:name w:val="Footnote Text Char"/>
    <w:aliases w:val="Footnote Text Char Char Char1,Footnote Text Char1 Char Char Char,Footnote Text Char Char Char Char Char,Footnote Text Char Char1 Char,Footnote Text Char1 Char Char1,Footnote Text Char Char Char Char1,Char Char, Char Char,C Char"/>
    <w:basedOn w:val="DefaultParagraphFont"/>
    <w:link w:val="FootnoteText"/>
    <w:rsid w:val="004B6553"/>
    <w:rPr>
      <w:sz w:val="20"/>
      <w:lang w:eastAsia="en-US"/>
    </w:rPr>
  </w:style>
  <w:style w:type="character" w:styleId="FootnoteReference">
    <w:name w:val="footnote reference"/>
    <w:aliases w:val="Footnotes refss,Footnote Reference in text,Footnote Reference Superscript,callout"/>
    <w:basedOn w:val="DefaultParagraphFont"/>
    <w:unhideWhenUsed/>
    <w:rsid w:val="004B6553"/>
    <w:rPr>
      <w:vertAlign w:val="superscript"/>
    </w:rPr>
  </w:style>
  <w:style w:type="character" w:customStyle="1" w:styleId="s6b621b36">
    <w:name w:val="s6b621b36"/>
    <w:basedOn w:val="DefaultParagraphFont"/>
    <w:rsid w:val="002B7B82"/>
  </w:style>
  <w:style w:type="character" w:customStyle="1" w:styleId="sb8d990e2">
    <w:name w:val="sb8d990e2"/>
    <w:basedOn w:val="DefaultParagraphFont"/>
    <w:rsid w:val="002B7B82"/>
  </w:style>
  <w:style w:type="character" w:styleId="FollowedHyperlink">
    <w:name w:val="FollowedHyperlink"/>
    <w:basedOn w:val="DefaultParagraphFont"/>
    <w:uiPriority w:val="99"/>
    <w:semiHidden/>
    <w:unhideWhenUsed/>
    <w:rsid w:val="00C021C2"/>
    <w:rPr>
      <w:color w:val="800080" w:themeColor="followedHyperlink"/>
      <w:u w:val="single"/>
    </w:rPr>
  </w:style>
  <w:style w:type="paragraph" w:customStyle="1" w:styleId="Pa5">
    <w:name w:val="Pa5"/>
    <w:basedOn w:val="Default"/>
    <w:next w:val="Default"/>
    <w:uiPriority w:val="99"/>
    <w:rsid w:val="00F009E6"/>
    <w:pPr>
      <w:spacing w:line="201" w:lineRule="atLeast"/>
    </w:pPr>
    <w:rPr>
      <w:rFonts w:ascii="HelveticaNeueLT Std" w:hAnsi="HelveticaNeueLT Std"/>
      <w:color w:val="auto"/>
    </w:rPr>
  </w:style>
  <w:style w:type="character" w:customStyle="1" w:styleId="A5">
    <w:name w:val="A5"/>
    <w:uiPriority w:val="99"/>
    <w:rsid w:val="00F009E6"/>
    <w:rPr>
      <w:rFonts w:cs="HelveticaNeueLT Std"/>
      <w:color w:val="000000"/>
      <w:sz w:val="11"/>
      <w:szCs w:val="11"/>
    </w:rPr>
  </w:style>
  <w:style w:type="paragraph" w:customStyle="1" w:styleId="Pa13">
    <w:name w:val="Pa13"/>
    <w:basedOn w:val="Default"/>
    <w:next w:val="Default"/>
    <w:uiPriority w:val="99"/>
    <w:rsid w:val="00F009E6"/>
    <w:pPr>
      <w:spacing w:line="201" w:lineRule="atLeast"/>
    </w:pPr>
    <w:rPr>
      <w:rFonts w:ascii="HelveticaNeueLT Std" w:hAnsi="HelveticaNeueLT Std"/>
      <w:color w:val="auto"/>
    </w:rPr>
  </w:style>
  <w:style w:type="paragraph" w:styleId="BalloonText">
    <w:name w:val="Balloon Text"/>
    <w:basedOn w:val="Normal"/>
    <w:link w:val="BalloonTextChar"/>
    <w:uiPriority w:val="99"/>
    <w:semiHidden/>
    <w:unhideWhenUsed/>
    <w:rsid w:val="004153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34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7416">
      <w:bodyDiv w:val="1"/>
      <w:marLeft w:val="0"/>
      <w:marRight w:val="0"/>
      <w:marTop w:val="0"/>
      <w:marBottom w:val="0"/>
      <w:divBdr>
        <w:top w:val="none" w:sz="0" w:space="0" w:color="auto"/>
        <w:left w:val="none" w:sz="0" w:space="0" w:color="auto"/>
        <w:bottom w:val="none" w:sz="0" w:space="0" w:color="auto"/>
        <w:right w:val="none" w:sz="0" w:space="0" w:color="auto"/>
      </w:divBdr>
    </w:div>
    <w:div w:id="161043356">
      <w:bodyDiv w:val="1"/>
      <w:marLeft w:val="0"/>
      <w:marRight w:val="0"/>
      <w:marTop w:val="0"/>
      <w:marBottom w:val="0"/>
      <w:divBdr>
        <w:top w:val="none" w:sz="0" w:space="0" w:color="auto"/>
        <w:left w:val="none" w:sz="0" w:space="0" w:color="auto"/>
        <w:bottom w:val="none" w:sz="0" w:space="0" w:color="auto"/>
        <w:right w:val="none" w:sz="0" w:space="0" w:color="auto"/>
      </w:divBdr>
      <w:divsChild>
        <w:div w:id="2039695735">
          <w:marLeft w:val="0"/>
          <w:marRight w:val="0"/>
          <w:marTop w:val="0"/>
          <w:marBottom w:val="0"/>
          <w:divBdr>
            <w:top w:val="none" w:sz="0" w:space="0" w:color="auto"/>
            <w:left w:val="none" w:sz="0" w:space="0" w:color="auto"/>
            <w:bottom w:val="none" w:sz="0" w:space="0" w:color="auto"/>
            <w:right w:val="none" w:sz="0" w:space="0" w:color="auto"/>
          </w:divBdr>
          <w:divsChild>
            <w:div w:id="103816230">
              <w:marLeft w:val="0"/>
              <w:marRight w:val="0"/>
              <w:marTop w:val="0"/>
              <w:marBottom w:val="0"/>
              <w:divBdr>
                <w:top w:val="none" w:sz="0" w:space="0" w:color="auto"/>
                <w:left w:val="none" w:sz="0" w:space="0" w:color="auto"/>
                <w:bottom w:val="none" w:sz="0" w:space="0" w:color="auto"/>
                <w:right w:val="none" w:sz="0" w:space="0" w:color="auto"/>
              </w:divBdr>
              <w:divsChild>
                <w:div w:id="302274509">
                  <w:marLeft w:val="0"/>
                  <w:marRight w:val="0"/>
                  <w:marTop w:val="0"/>
                  <w:marBottom w:val="0"/>
                  <w:divBdr>
                    <w:top w:val="none" w:sz="0" w:space="0" w:color="auto"/>
                    <w:left w:val="none" w:sz="0" w:space="0" w:color="auto"/>
                    <w:bottom w:val="none" w:sz="0" w:space="0" w:color="auto"/>
                    <w:right w:val="none" w:sz="0" w:space="0" w:color="auto"/>
                  </w:divBdr>
                  <w:divsChild>
                    <w:div w:id="1028218003">
                      <w:marLeft w:val="0"/>
                      <w:marRight w:val="0"/>
                      <w:marTop w:val="0"/>
                      <w:marBottom w:val="0"/>
                      <w:divBdr>
                        <w:top w:val="none" w:sz="0" w:space="0" w:color="auto"/>
                        <w:left w:val="none" w:sz="0" w:space="0" w:color="auto"/>
                        <w:bottom w:val="none" w:sz="0" w:space="0" w:color="auto"/>
                        <w:right w:val="none" w:sz="0" w:space="0" w:color="auto"/>
                      </w:divBdr>
                      <w:divsChild>
                        <w:div w:id="935944203">
                          <w:marLeft w:val="0"/>
                          <w:marRight w:val="0"/>
                          <w:marTop w:val="0"/>
                          <w:marBottom w:val="0"/>
                          <w:divBdr>
                            <w:top w:val="none" w:sz="0" w:space="0" w:color="auto"/>
                            <w:left w:val="none" w:sz="0" w:space="0" w:color="auto"/>
                            <w:bottom w:val="none" w:sz="0" w:space="0" w:color="auto"/>
                            <w:right w:val="none" w:sz="0" w:space="0" w:color="auto"/>
                          </w:divBdr>
                          <w:divsChild>
                            <w:div w:id="705061122">
                              <w:marLeft w:val="0"/>
                              <w:marRight w:val="0"/>
                              <w:marTop w:val="0"/>
                              <w:marBottom w:val="0"/>
                              <w:divBdr>
                                <w:top w:val="none" w:sz="0" w:space="0" w:color="auto"/>
                                <w:left w:val="none" w:sz="0" w:space="0" w:color="auto"/>
                                <w:bottom w:val="none" w:sz="0" w:space="0" w:color="auto"/>
                                <w:right w:val="none" w:sz="0" w:space="0" w:color="auto"/>
                              </w:divBdr>
                              <w:divsChild>
                                <w:div w:id="689572973">
                                  <w:marLeft w:val="0"/>
                                  <w:marRight w:val="0"/>
                                  <w:marTop w:val="0"/>
                                  <w:marBottom w:val="0"/>
                                  <w:divBdr>
                                    <w:top w:val="none" w:sz="0" w:space="0" w:color="auto"/>
                                    <w:left w:val="none" w:sz="0" w:space="0" w:color="auto"/>
                                    <w:bottom w:val="none" w:sz="0" w:space="0" w:color="auto"/>
                                    <w:right w:val="none" w:sz="0" w:space="0" w:color="auto"/>
                                  </w:divBdr>
                                  <w:divsChild>
                                    <w:div w:id="1602445693">
                                      <w:marLeft w:val="0"/>
                                      <w:marRight w:val="0"/>
                                      <w:marTop w:val="0"/>
                                      <w:marBottom w:val="0"/>
                                      <w:divBdr>
                                        <w:top w:val="none" w:sz="0" w:space="0" w:color="auto"/>
                                        <w:left w:val="none" w:sz="0" w:space="0" w:color="auto"/>
                                        <w:bottom w:val="none" w:sz="0" w:space="0" w:color="auto"/>
                                        <w:right w:val="none" w:sz="0" w:space="0" w:color="auto"/>
                                      </w:divBdr>
                                      <w:divsChild>
                                        <w:div w:id="2118405251">
                                          <w:marLeft w:val="0"/>
                                          <w:marRight w:val="0"/>
                                          <w:marTop w:val="0"/>
                                          <w:marBottom w:val="0"/>
                                          <w:divBdr>
                                            <w:top w:val="none" w:sz="0" w:space="0" w:color="auto"/>
                                            <w:left w:val="none" w:sz="0" w:space="0" w:color="auto"/>
                                            <w:bottom w:val="none" w:sz="0" w:space="0" w:color="auto"/>
                                            <w:right w:val="none" w:sz="0" w:space="0" w:color="auto"/>
                                          </w:divBdr>
                                          <w:divsChild>
                                            <w:div w:id="55401927">
                                              <w:marLeft w:val="0"/>
                                              <w:marRight w:val="0"/>
                                              <w:marTop w:val="0"/>
                                              <w:marBottom w:val="0"/>
                                              <w:divBdr>
                                                <w:top w:val="none" w:sz="0" w:space="0" w:color="auto"/>
                                                <w:left w:val="none" w:sz="0" w:space="0" w:color="auto"/>
                                                <w:bottom w:val="none" w:sz="0" w:space="0" w:color="auto"/>
                                                <w:right w:val="none" w:sz="0" w:space="0" w:color="auto"/>
                                              </w:divBdr>
                                            </w:div>
                                            <w:div w:id="90395864">
                                              <w:marLeft w:val="0"/>
                                              <w:marRight w:val="0"/>
                                              <w:marTop w:val="0"/>
                                              <w:marBottom w:val="0"/>
                                              <w:divBdr>
                                                <w:top w:val="none" w:sz="0" w:space="0" w:color="auto"/>
                                                <w:left w:val="none" w:sz="0" w:space="0" w:color="auto"/>
                                                <w:bottom w:val="none" w:sz="0" w:space="0" w:color="auto"/>
                                                <w:right w:val="none" w:sz="0" w:space="0" w:color="auto"/>
                                              </w:divBdr>
                                              <w:divsChild>
                                                <w:div w:id="378824514">
                                                  <w:marLeft w:val="0"/>
                                                  <w:marRight w:val="0"/>
                                                  <w:marTop w:val="0"/>
                                                  <w:marBottom w:val="0"/>
                                                  <w:divBdr>
                                                    <w:top w:val="none" w:sz="0" w:space="0" w:color="auto"/>
                                                    <w:left w:val="none" w:sz="0" w:space="0" w:color="auto"/>
                                                    <w:bottom w:val="none" w:sz="0" w:space="0" w:color="auto"/>
                                                    <w:right w:val="none" w:sz="0" w:space="0" w:color="auto"/>
                                                  </w:divBdr>
                                                  <w:divsChild>
                                                    <w:div w:id="749545729">
                                                      <w:marLeft w:val="0"/>
                                                      <w:marRight w:val="0"/>
                                                      <w:marTop w:val="0"/>
                                                      <w:marBottom w:val="0"/>
                                                      <w:divBdr>
                                                        <w:top w:val="none" w:sz="0" w:space="0" w:color="auto"/>
                                                        <w:left w:val="none" w:sz="0" w:space="0" w:color="auto"/>
                                                        <w:bottom w:val="none" w:sz="0" w:space="0" w:color="auto"/>
                                                        <w:right w:val="none" w:sz="0" w:space="0" w:color="auto"/>
                                                      </w:divBdr>
                                                      <w:divsChild>
                                                        <w:div w:id="10175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2337382">
      <w:bodyDiv w:val="1"/>
      <w:marLeft w:val="0"/>
      <w:marRight w:val="0"/>
      <w:marTop w:val="0"/>
      <w:marBottom w:val="0"/>
      <w:divBdr>
        <w:top w:val="none" w:sz="0" w:space="0" w:color="auto"/>
        <w:left w:val="none" w:sz="0" w:space="0" w:color="auto"/>
        <w:bottom w:val="none" w:sz="0" w:space="0" w:color="auto"/>
        <w:right w:val="none" w:sz="0" w:space="0" w:color="auto"/>
      </w:divBdr>
    </w:div>
    <w:div w:id="403532829">
      <w:bodyDiv w:val="1"/>
      <w:marLeft w:val="0"/>
      <w:marRight w:val="0"/>
      <w:marTop w:val="0"/>
      <w:marBottom w:val="0"/>
      <w:divBdr>
        <w:top w:val="none" w:sz="0" w:space="0" w:color="auto"/>
        <w:left w:val="none" w:sz="0" w:space="0" w:color="auto"/>
        <w:bottom w:val="none" w:sz="0" w:space="0" w:color="auto"/>
        <w:right w:val="none" w:sz="0" w:space="0" w:color="auto"/>
      </w:divBdr>
    </w:div>
    <w:div w:id="473646055">
      <w:bodyDiv w:val="1"/>
      <w:marLeft w:val="0"/>
      <w:marRight w:val="0"/>
      <w:marTop w:val="0"/>
      <w:marBottom w:val="0"/>
      <w:divBdr>
        <w:top w:val="none" w:sz="0" w:space="0" w:color="auto"/>
        <w:left w:val="none" w:sz="0" w:space="0" w:color="auto"/>
        <w:bottom w:val="none" w:sz="0" w:space="0" w:color="auto"/>
        <w:right w:val="none" w:sz="0" w:space="0" w:color="auto"/>
      </w:divBdr>
    </w:div>
    <w:div w:id="475343745">
      <w:bodyDiv w:val="1"/>
      <w:marLeft w:val="0"/>
      <w:marRight w:val="0"/>
      <w:marTop w:val="0"/>
      <w:marBottom w:val="0"/>
      <w:divBdr>
        <w:top w:val="none" w:sz="0" w:space="0" w:color="auto"/>
        <w:left w:val="none" w:sz="0" w:space="0" w:color="auto"/>
        <w:bottom w:val="none" w:sz="0" w:space="0" w:color="auto"/>
        <w:right w:val="none" w:sz="0" w:space="0" w:color="auto"/>
      </w:divBdr>
    </w:div>
    <w:div w:id="534007309">
      <w:bodyDiv w:val="1"/>
      <w:marLeft w:val="0"/>
      <w:marRight w:val="0"/>
      <w:marTop w:val="0"/>
      <w:marBottom w:val="0"/>
      <w:divBdr>
        <w:top w:val="none" w:sz="0" w:space="0" w:color="auto"/>
        <w:left w:val="none" w:sz="0" w:space="0" w:color="auto"/>
        <w:bottom w:val="none" w:sz="0" w:space="0" w:color="auto"/>
        <w:right w:val="none" w:sz="0" w:space="0" w:color="auto"/>
      </w:divBdr>
    </w:div>
    <w:div w:id="545415297">
      <w:bodyDiv w:val="1"/>
      <w:marLeft w:val="0"/>
      <w:marRight w:val="0"/>
      <w:marTop w:val="0"/>
      <w:marBottom w:val="0"/>
      <w:divBdr>
        <w:top w:val="none" w:sz="0" w:space="0" w:color="auto"/>
        <w:left w:val="none" w:sz="0" w:space="0" w:color="auto"/>
        <w:bottom w:val="none" w:sz="0" w:space="0" w:color="auto"/>
        <w:right w:val="none" w:sz="0" w:space="0" w:color="auto"/>
      </w:divBdr>
    </w:div>
    <w:div w:id="550651365">
      <w:bodyDiv w:val="1"/>
      <w:marLeft w:val="0"/>
      <w:marRight w:val="0"/>
      <w:marTop w:val="0"/>
      <w:marBottom w:val="0"/>
      <w:divBdr>
        <w:top w:val="none" w:sz="0" w:space="0" w:color="auto"/>
        <w:left w:val="none" w:sz="0" w:space="0" w:color="auto"/>
        <w:bottom w:val="none" w:sz="0" w:space="0" w:color="auto"/>
        <w:right w:val="none" w:sz="0" w:space="0" w:color="auto"/>
      </w:divBdr>
      <w:divsChild>
        <w:div w:id="1498839481">
          <w:marLeft w:val="0"/>
          <w:marRight w:val="0"/>
          <w:marTop w:val="0"/>
          <w:marBottom w:val="0"/>
          <w:divBdr>
            <w:top w:val="none" w:sz="0" w:space="0" w:color="auto"/>
            <w:left w:val="none" w:sz="0" w:space="0" w:color="auto"/>
            <w:bottom w:val="none" w:sz="0" w:space="0" w:color="auto"/>
            <w:right w:val="none" w:sz="0" w:space="0" w:color="auto"/>
          </w:divBdr>
          <w:divsChild>
            <w:div w:id="13961262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4629443">
      <w:bodyDiv w:val="1"/>
      <w:marLeft w:val="0"/>
      <w:marRight w:val="0"/>
      <w:marTop w:val="0"/>
      <w:marBottom w:val="0"/>
      <w:divBdr>
        <w:top w:val="none" w:sz="0" w:space="0" w:color="auto"/>
        <w:left w:val="none" w:sz="0" w:space="0" w:color="auto"/>
        <w:bottom w:val="none" w:sz="0" w:space="0" w:color="auto"/>
        <w:right w:val="none" w:sz="0" w:space="0" w:color="auto"/>
      </w:divBdr>
    </w:div>
    <w:div w:id="592054979">
      <w:bodyDiv w:val="1"/>
      <w:marLeft w:val="0"/>
      <w:marRight w:val="0"/>
      <w:marTop w:val="0"/>
      <w:marBottom w:val="0"/>
      <w:divBdr>
        <w:top w:val="none" w:sz="0" w:space="0" w:color="auto"/>
        <w:left w:val="none" w:sz="0" w:space="0" w:color="auto"/>
        <w:bottom w:val="none" w:sz="0" w:space="0" w:color="auto"/>
        <w:right w:val="none" w:sz="0" w:space="0" w:color="auto"/>
      </w:divBdr>
    </w:div>
    <w:div w:id="719405757">
      <w:bodyDiv w:val="1"/>
      <w:marLeft w:val="0"/>
      <w:marRight w:val="0"/>
      <w:marTop w:val="0"/>
      <w:marBottom w:val="0"/>
      <w:divBdr>
        <w:top w:val="none" w:sz="0" w:space="0" w:color="auto"/>
        <w:left w:val="none" w:sz="0" w:space="0" w:color="auto"/>
        <w:bottom w:val="none" w:sz="0" w:space="0" w:color="auto"/>
        <w:right w:val="none" w:sz="0" w:space="0" w:color="auto"/>
      </w:divBdr>
    </w:div>
    <w:div w:id="720984978">
      <w:bodyDiv w:val="1"/>
      <w:marLeft w:val="0"/>
      <w:marRight w:val="0"/>
      <w:marTop w:val="0"/>
      <w:marBottom w:val="0"/>
      <w:divBdr>
        <w:top w:val="none" w:sz="0" w:space="0" w:color="auto"/>
        <w:left w:val="none" w:sz="0" w:space="0" w:color="auto"/>
        <w:bottom w:val="none" w:sz="0" w:space="0" w:color="auto"/>
        <w:right w:val="none" w:sz="0" w:space="0" w:color="auto"/>
      </w:divBdr>
    </w:div>
    <w:div w:id="736783830">
      <w:bodyDiv w:val="1"/>
      <w:marLeft w:val="0"/>
      <w:marRight w:val="0"/>
      <w:marTop w:val="0"/>
      <w:marBottom w:val="0"/>
      <w:divBdr>
        <w:top w:val="none" w:sz="0" w:space="0" w:color="auto"/>
        <w:left w:val="none" w:sz="0" w:space="0" w:color="auto"/>
        <w:bottom w:val="none" w:sz="0" w:space="0" w:color="auto"/>
        <w:right w:val="none" w:sz="0" w:space="0" w:color="auto"/>
      </w:divBdr>
    </w:div>
    <w:div w:id="809632530">
      <w:bodyDiv w:val="1"/>
      <w:marLeft w:val="0"/>
      <w:marRight w:val="0"/>
      <w:marTop w:val="0"/>
      <w:marBottom w:val="0"/>
      <w:divBdr>
        <w:top w:val="none" w:sz="0" w:space="0" w:color="auto"/>
        <w:left w:val="none" w:sz="0" w:space="0" w:color="auto"/>
        <w:bottom w:val="none" w:sz="0" w:space="0" w:color="auto"/>
        <w:right w:val="none" w:sz="0" w:space="0" w:color="auto"/>
      </w:divBdr>
    </w:div>
    <w:div w:id="863010746">
      <w:bodyDiv w:val="1"/>
      <w:marLeft w:val="0"/>
      <w:marRight w:val="0"/>
      <w:marTop w:val="0"/>
      <w:marBottom w:val="0"/>
      <w:divBdr>
        <w:top w:val="none" w:sz="0" w:space="0" w:color="auto"/>
        <w:left w:val="none" w:sz="0" w:space="0" w:color="auto"/>
        <w:bottom w:val="none" w:sz="0" w:space="0" w:color="auto"/>
        <w:right w:val="none" w:sz="0" w:space="0" w:color="auto"/>
      </w:divBdr>
      <w:divsChild>
        <w:div w:id="163403543">
          <w:marLeft w:val="0"/>
          <w:marRight w:val="0"/>
          <w:marTop w:val="0"/>
          <w:marBottom w:val="0"/>
          <w:divBdr>
            <w:top w:val="none" w:sz="0" w:space="0" w:color="auto"/>
            <w:left w:val="none" w:sz="0" w:space="0" w:color="auto"/>
            <w:bottom w:val="none" w:sz="0" w:space="0" w:color="auto"/>
            <w:right w:val="none" w:sz="0" w:space="0" w:color="auto"/>
          </w:divBdr>
          <w:divsChild>
            <w:div w:id="2043168650">
              <w:marLeft w:val="0"/>
              <w:marRight w:val="0"/>
              <w:marTop w:val="0"/>
              <w:marBottom w:val="0"/>
              <w:divBdr>
                <w:top w:val="none" w:sz="0" w:space="0" w:color="auto"/>
                <w:left w:val="none" w:sz="0" w:space="0" w:color="auto"/>
                <w:bottom w:val="none" w:sz="0" w:space="0" w:color="auto"/>
                <w:right w:val="none" w:sz="0" w:space="0" w:color="auto"/>
              </w:divBdr>
              <w:divsChild>
                <w:div w:id="1221093713">
                  <w:marLeft w:val="0"/>
                  <w:marRight w:val="0"/>
                  <w:marTop w:val="0"/>
                  <w:marBottom w:val="0"/>
                  <w:divBdr>
                    <w:top w:val="none" w:sz="0" w:space="0" w:color="auto"/>
                    <w:left w:val="none" w:sz="0" w:space="0" w:color="auto"/>
                    <w:bottom w:val="none" w:sz="0" w:space="0" w:color="auto"/>
                    <w:right w:val="none" w:sz="0" w:space="0" w:color="auto"/>
                  </w:divBdr>
                  <w:divsChild>
                    <w:div w:id="1469283572">
                      <w:marLeft w:val="0"/>
                      <w:marRight w:val="0"/>
                      <w:marTop w:val="0"/>
                      <w:marBottom w:val="0"/>
                      <w:divBdr>
                        <w:top w:val="none" w:sz="0" w:space="0" w:color="auto"/>
                        <w:left w:val="none" w:sz="0" w:space="0" w:color="auto"/>
                        <w:bottom w:val="none" w:sz="0" w:space="0" w:color="auto"/>
                        <w:right w:val="none" w:sz="0" w:space="0" w:color="auto"/>
                      </w:divBdr>
                      <w:divsChild>
                        <w:div w:id="1082723254">
                          <w:marLeft w:val="0"/>
                          <w:marRight w:val="0"/>
                          <w:marTop w:val="0"/>
                          <w:marBottom w:val="0"/>
                          <w:divBdr>
                            <w:top w:val="none" w:sz="0" w:space="0" w:color="auto"/>
                            <w:left w:val="none" w:sz="0" w:space="0" w:color="auto"/>
                            <w:bottom w:val="none" w:sz="0" w:space="0" w:color="auto"/>
                            <w:right w:val="none" w:sz="0" w:space="0" w:color="auto"/>
                          </w:divBdr>
                          <w:divsChild>
                            <w:div w:id="1292706907">
                              <w:marLeft w:val="0"/>
                              <w:marRight w:val="0"/>
                              <w:marTop w:val="0"/>
                              <w:marBottom w:val="0"/>
                              <w:divBdr>
                                <w:top w:val="none" w:sz="0" w:space="0" w:color="auto"/>
                                <w:left w:val="none" w:sz="0" w:space="0" w:color="auto"/>
                                <w:bottom w:val="none" w:sz="0" w:space="0" w:color="auto"/>
                                <w:right w:val="none" w:sz="0" w:space="0" w:color="auto"/>
                              </w:divBdr>
                              <w:divsChild>
                                <w:div w:id="2022317013">
                                  <w:marLeft w:val="0"/>
                                  <w:marRight w:val="0"/>
                                  <w:marTop w:val="0"/>
                                  <w:marBottom w:val="0"/>
                                  <w:divBdr>
                                    <w:top w:val="none" w:sz="0" w:space="0" w:color="auto"/>
                                    <w:left w:val="none" w:sz="0" w:space="0" w:color="auto"/>
                                    <w:bottom w:val="none" w:sz="0" w:space="0" w:color="auto"/>
                                    <w:right w:val="none" w:sz="0" w:space="0" w:color="auto"/>
                                  </w:divBdr>
                                  <w:divsChild>
                                    <w:div w:id="242111310">
                                      <w:marLeft w:val="0"/>
                                      <w:marRight w:val="0"/>
                                      <w:marTop w:val="0"/>
                                      <w:marBottom w:val="0"/>
                                      <w:divBdr>
                                        <w:top w:val="none" w:sz="0" w:space="0" w:color="auto"/>
                                        <w:left w:val="none" w:sz="0" w:space="0" w:color="auto"/>
                                        <w:bottom w:val="none" w:sz="0" w:space="0" w:color="auto"/>
                                        <w:right w:val="none" w:sz="0" w:space="0" w:color="auto"/>
                                      </w:divBdr>
                                      <w:divsChild>
                                        <w:div w:id="1350982799">
                                          <w:marLeft w:val="0"/>
                                          <w:marRight w:val="0"/>
                                          <w:marTop w:val="0"/>
                                          <w:marBottom w:val="0"/>
                                          <w:divBdr>
                                            <w:top w:val="none" w:sz="0" w:space="0" w:color="auto"/>
                                            <w:left w:val="none" w:sz="0" w:space="0" w:color="auto"/>
                                            <w:bottom w:val="none" w:sz="0" w:space="0" w:color="auto"/>
                                            <w:right w:val="none" w:sz="0" w:space="0" w:color="auto"/>
                                          </w:divBdr>
                                          <w:divsChild>
                                            <w:div w:id="259292991">
                                              <w:marLeft w:val="0"/>
                                              <w:marRight w:val="0"/>
                                              <w:marTop w:val="0"/>
                                              <w:marBottom w:val="0"/>
                                              <w:divBdr>
                                                <w:top w:val="none" w:sz="0" w:space="0" w:color="auto"/>
                                                <w:left w:val="none" w:sz="0" w:space="0" w:color="auto"/>
                                                <w:bottom w:val="none" w:sz="0" w:space="0" w:color="auto"/>
                                                <w:right w:val="none" w:sz="0" w:space="0" w:color="auto"/>
                                              </w:divBdr>
                                            </w:div>
                                            <w:div w:id="1055200573">
                                              <w:marLeft w:val="0"/>
                                              <w:marRight w:val="0"/>
                                              <w:marTop w:val="0"/>
                                              <w:marBottom w:val="0"/>
                                              <w:divBdr>
                                                <w:top w:val="none" w:sz="0" w:space="0" w:color="auto"/>
                                                <w:left w:val="none" w:sz="0" w:space="0" w:color="auto"/>
                                                <w:bottom w:val="none" w:sz="0" w:space="0" w:color="auto"/>
                                                <w:right w:val="none" w:sz="0" w:space="0" w:color="auto"/>
                                              </w:divBdr>
                                              <w:divsChild>
                                                <w:div w:id="1033187660">
                                                  <w:marLeft w:val="0"/>
                                                  <w:marRight w:val="0"/>
                                                  <w:marTop w:val="0"/>
                                                  <w:marBottom w:val="0"/>
                                                  <w:divBdr>
                                                    <w:top w:val="none" w:sz="0" w:space="0" w:color="auto"/>
                                                    <w:left w:val="none" w:sz="0" w:space="0" w:color="auto"/>
                                                    <w:bottom w:val="none" w:sz="0" w:space="0" w:color="auto"/>
                                                    <w:right w:val="none" w:sz="0" w:space="0" w:color="auto"/>
                                                  </w:divBdr>
                                                  <w:divsChild>
                                                    <w:div w:id="1923173193">
                                                      <w:marLeft w:val="0"/>
                                                      <w:marRight w:val="0"/>
                                                      <w:marTop w:val="0"/>
                                                      <w:marBottom w:val="0"/>
                                                      <w:divBdr>
                                                        <w:top w:val="none" w:sz="0" w:space="0" w:color="auto"/>
                                                        <w:left w:val="none" w:sz="0" w:space="0" w:color="auto"/>
                                                        <w:bottom w:val="none" w:sz="0" w:space="0" w:color="auto"/>
                                                        <w:right w:val="none" w:sz="0" w:space="0" w:color="auto"/>
                                                      </w:divBdr>
                                                      <w:divsChild>
                                                        <w:div w:id="12122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1915564">
      <w:bodyDiv w:val="1"/>
      <w:marLeft w:val="0"/>
      <w:marRight w:val="0"/>
      <w:marTop w:val="0"/>
      <w:marBottom w:val="0"/>
      <w:divBdr>
        <w:top w:val="none" w:sz="0" w:space="0" w:color="auto"/>
        <w:left w:val="none" w:sz="0" w:space="0" w:color="auto"/>
        <w:bottom w:val="none" w:sz="0" w:space="0" w:color="auto"/>
        <w:right w:val="none" w:sz="0" w:space="0" w:color="auto"/>
      </w:divBdr>
    </w:div>
    <w:div w:id="979460804">
      <w:bodyDiv w:val="1"/>
      <w:marLeft w:val="0"/>
      <w:marRight w:val="0"/>
      <w:marTop w:val="0"/>
      <w:marBottom w:val="0"/>
      <w:divBdr>
        <w:top w:val="none" w:sz="0" w:space="0" w:color="auto"/>
        <w:left w:val="none" w:sz="0" w:space="0" w:color="auto"/>
        <w:bottom w:val="none" w:sz="0" w:space="0" w:color="auto"/>
        <w:right w:val="none" w:sz="0" w:space="0" w:color="auto"/>
      </w:divBdr>
    </w:div>
    <w:div w:id="1044257998">
      <w:bodyDiv w:val="1"/>
      <w:marLeft w:val="0"/>
      <w:marRight w:val="0"/>
      <w:marTop w:val="0"/>
      <w:marBottom w:val="0"/>
      <w:divBdr>
        <w:top w:val="none" w:sz="0" w:space="0" w:color="auto"/>
        <w:left w:val="none" w:sz="0" w:space="0" w:color="auto"/>
        <w:bottom w:val="none" w:sz="0" w:space="0" w:color="auto"/>
        <w:right w:val="none" w:sz="0" w:space="0" w:color="auto"/>
      </w:divBdr>
    </w:div>
    <w:div w:id="1068186326">
      <w:bodyDiv w:val="1"/>
      <w:marLeft w:val="0"/>
      <w:marRight w:val="0"/>
      <w:marTop w:val="0"/>
      <w:marBottom w:val="0"/>
      <w:divBdr>
        <w:top w:val="none" w:sz="0" w:space="0" w:color="auto"/>
        <w:left w:val="none" w:sz="0" w:space="0" w:color="auto"/>
        <w:bottom w:val="none" w:sz="0" w:space="0" w:color="auto"/>
        <w:right w:val="none" w:sz="0" w:space="0" w:color="auto"/>
      </w:divBdr>
      <w:divsChild>
        <w:div w:id="1229534136">
          <w:marLeft w:val="0"/>
          <w:marRight w:val="0"/>
          <w:marTop w:val="0"/>
          <w:marBottom w:val="0"/>
          <w:divBdr>
            <w:top w:val="none" w:sz="0" w:space="0" w:color="auto"/>
            <w:left w:val="none" w:sz="0" w:space="0" w:color="auto"/>
            <w:bottom w:val="none" w:sz="0" w:space="0" w:color="auto"/>
            <w:right w:val="none" w:sz="0" w:space="0" w:color="auto"/>
          </w:divBdr>
          <w:divsChild>
            <w:div w:id="1842699099">
              <w:marLeft w:val="0"/>
              <w:marRight w:val="0"/>
              <w:marTop w:val="0"/>
              <w:marBottom w:val="0"/>
              <w:divBdr>
                <w:top w:val="none" w:sz="0" w:space="0" w:color="auto"/>
                <w:left w:val="none" w:sz="0" w:space="0" w:color="auto"/>
                <w:bottom w:val="none" w:sz="0" w:space="0" w:color="auto"/>
                <w:right w:val="none" w:sz="0" w:space="0" w:color="auto"/>
              </w:divBdr>
              <w:divsChild>
                <w:div w:id="1848711673">
                  <w:marLeft w:val="0"/>
                  <w:marRight w:val="0"/>
                  <w:marTop w:val="0"/>
                  <w:marBottom w:val="0"/>
                  <w:divBdr>
                    <w:top w:val="none" w:sz="0" w:space="0" w:color="auto"/>
                    <w:left w:val="none" w:sz="0" w:space="0" w:color="auto"/>
                    <w:bottom w:val="none" w:sz="0" w:space="0" w:color="auto"/>
                    <w:right w:val="none" w:sz="0" w:space="0" w:color="auto"/>
                  </w:divBdr>
                  <w:divsChild>
                    <w:div w:id="1562137188">
                      <w:marLeft w:val="0"/>
                      <w:marRight w:val="0"/>
                      <w:marTop w:val="0"/>
                      <w:marBottom w:val="0"/>
                      <w:divBdr>
                        <w:top w:val="none" w:sz="0" w:space="0" w:color="auto"/>
                        <w:left w:val="none" w:sz="0" w:space="0" w:color="auto"/>
                        <w:bottom w:val="none" w:sz="0" w:space="0" w:color="auto"/>
                        <w:right w:val="none" w:sz="0" w:space="0" w:color="auto"/>
                      </w:divBdr>
                      <w:divsChild>
                        <w:div w:id="230163512">
                          <w:marLeft w:val="0"/>
                          <w:marRight w:val="0"/>
                          <w:marTop w:val="0"/>
                          <w:marBottom w:val="0"/>
                          <w:divBdr>
                            <w:top w:val="none" w:sz="0" w:space="0" w:color="auto"/>
                            <w:left w:val="none" w:sz="0" w:space="0" w:color="auto"/>
                            <w:bottom w:val="none" w:sz="0" w:space="0" w:color="auto"/>
                            <w:right w:val="none" w:sz="0" w:space="0" w:color="auto"/>
                          </w:divBdr>
                          <w:divsChild>
                            <w:div w:id="1197503209">
                              <w:marLeft w:val="0"/>
                              <w:marRight w:val="0"/>
                              <w:marTop w:val="0"/>
                              <w:marBottom w:val="0"/>
                              <w:divBdr>
                                <w:top w:val="none" w:sz="0" w:space="0" w:color="auto"/>
                                <w:left w:val="none" w:sz="0" w:space="0" w:color="auto"/>
                                <w:bottom w:val="none" w:sz="0" w:space="0" w:color="auto"/>
                                <w:right w:val="none" w:sz="0" w:space="0" w:color="auto"/>
                              </w:divBdr>
                              <w:divsChild>
                                <w:div w:id="944732801">
                                  <w:marLeft w:val="0"/>
                                  <w:marRight w:val="0"/>
                                  <w:marTop w:val="0"/>
                                  <w:marBottom w:val="0"/>
                                  <w:divBdr>
                                    <w:top w:val="none" w:sz="0" w:space="0" w:color="auto"/>
                                    <w:left w:val="none" w:sz="0" w:space="0" w:color="auto"/>
                                    <w:bottom w:val="none" w:sz="0" w:space="0" w:color="auto"/>
                                    <w:right w:val="none" w:sz="0" w:space="0" w:color="auto"/>
                                  </w:divBdr>
                                  <w:divsChild>
                                    <w:div w:id="757675443">
                                      <w:marLeft w:val="0"/>
                                      <w:marRight w:val="0"/>
                                      <w:marTop w:val="0"/>
                                      <w:marBottom w:val="0"/>
                                      <w:divBdr>
                                        <w:top w:val="none" w:sz="0" w:space="0" w:color="auto"/>
                                        <w:left w:val="none" w:sz="0" w:space="0" w:color="auto"/>
                                        <w:bottom w:val="none" w:sz="0" w:space="0" w:color="auto"/>
                                        <w:right w:val="none" w:sz="0" w:space="0" w:color="auto"/>
                                      </w:divBdr>
                                      <w:divsChild>
                                        <w:div w:id="1859197601">
                                          <w:marLeft w:val="0"/>
                                          <w:marRight w:val="0"/>
                                          <w:marTop w:val="0"/>
                                          <w:marBottom w:val="0"/>
                                          <w:divBdr>
                                            <w:top w:val="none" w:sz="0" w:space="0" w:color="auto"/>
                                            <w:left w:val="none" w:sz="0" w:space="0" w:color="auto"/>
                                            <w:bottom w:val="none" w:sz="0" w:space="0" w:color="auto"/>
                                            <w:right w:val="none" w:sz="0" w:space="0" w:color="auto"/>
                                          </w:divBdr>
                                          <w:divsChild>
                                            <w:div w:id="707070211">
                                              <w:marLeft w:val="0"/>
                                              <w:marRight w:val="0"/>
                                              <w:marTop w:val="0"/>
                                              <w:marBottom w:val="0"/>
                                              <w:divBdr>
                                                <w:top w:val="none" w:sz="0" w:space="0" w:color="auto"/>
                                                <w:left w:val="none" w:sz="0" w:space="0" w:color="auto"/>
                                                <w:bottom w:val="none" w:sz="0" w:space="0" w:color="auto"/>
                                                <w:right w:val="none" w:sz="0" w:space="0" w:color="auto"/>
                                              </w:divBdr>
                                            </w:div>
                                            <w:div w:id="629092435">
                                              <w:marLeft w:val="0"/>
                                              <w:marRight w:val="0"/>
                                              <w:marTop w:val="0"/>
                                              <w:marBottom w:val="0"/>
                                              <w:divBdr>
                                                <w:top w:val="none" w:sz="0" w:space="0" w:color="auto"/>
                                                <w:left w:val="none" w:sz="0" w:space="0" w:color="auto"/>
                                                <w:bottom w:val="none" w:sz="0" w:space="0" w:color="auto"/>
                                                <w:right w:val="none" w:sz="0" w:space="0" w:color="auto"/>
                                              </w:divBdr>
                                              <w:divsChild>
                                                <w:div w:id="11739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1132752">
      <w:bodyDiv w:val="1"/>
      <w:marLeft w:val="0"/>
      <w:marRight w:val="0"/>
      <w:marTop w:val="0"/>
      <w:marBottom w:val="0"/>
      <w:divBdr>
        <w:top w:val="none" w:sz="0" w:space="0" w:color="auto"/>
        <w:left w:val="none" w:sz="0" w:space="0" w:color="auto"/>
        <w:bottom w:val="none" w:sz="0" w:space="0" w:color="auto"/>
        <w:right w:val="none" w:sz="0" w:space="0" w:color="auto"/>
      </w:divBdr>
    </w:div>
    <w:div w:id="1285117601">
      <w:bodyDiv w:val="1"/>
      <w:marLeft w:val="0"/>
      <w:marRight w:val="0"/>
      <w:marTop w:val="0"/>
      <w:marBottom w:val="0"/>
      <w:divBdr>
        <w:top w:val="none" w:sz="0" w:space="0" w:color="auto"/>
        <w:left w:val="none" w:sz="0" w:space="0" w:color="auto"/>
        <w:bottom w:val="none" w:sz="0" w:space="0" w:color="auto"/>
        <w:right w:val="none" w:sz="0" w:space="0" w:color="auto"/>
      </w:divBdr>
    </w:div>
    <w:div w:id="1415318353">
      <w:bodyDiv w:val="1"/>
      <w:marLeft w:val="0"/>
      <w:marRight w:val="0"/>
      <w:marTop w:val="0"/>
      <w:marBottom w:val="0"/>
      <w:divBdr>
        <w:top w:val="none" w:sz="0" w:space="0" w:color="auto"/>
        <w:left w:val="none" w:sz="0" w:space="0" w:color="auto"/>
        <w:bottom w:val="none" w:sz="0" w:space="0" w:color="auto"/>
        <w:right w:val="none" w:sz="0" w:space="0" w:color="auto"/>
      </w:divBdr>
    </w:div>
    <w:div w:id="1442266352">
      <w:bodyDiv w:val="1"/>
      <w:marLeft w:val="0"/>
      <w:marRight w:val="0"/>
      <w:marTop w:val="0"/>
      <w:marBottom w:val="0"/>
      <w:divBdr>
        <w:top w:val="none" w:sz="0" w:space="0" w:color="auto"/>
        <w:left w:val="none" w:sz="0" w:space="0" w:color="auto"/>
        <w:bottom w:val="none" w:sz="0" w:space="0" w:color="auto"/>
        <w:right w:val="none" w:sz="0" w:space="0" w:color="auto"/>
      </w:divBdr>
    </w:div>
    <w:div w:id="1491020691">
      <w:bodyDiv w:val="1"/>
      <w:marLeft w:val="0"/>
      <w:marRight w:val="0"/>
      <w:marTop w:val="0"/>
      <w:marBottom w:val="0"/>
      <w:divBdr>
        <w:top w:val="none" w:sz="0" w:space="0" w:color="auto"/>
        <w:left w:val="none" w:sz="0" w:space="0" w:color="auto"/>
        <w:bottom w:val="none" w:sz="0" w:space="0" w:color="auto"/>
        <w:right w:val="none" w:sz="0" w:space="0" w:color="auto"/>
      </w:divBdr>
    </w:div>
    <w:div w:id="1551192095">
      <w:bodyDiv w:val="1"/>
      <w:marLeft w:val="0"/>
      <w:marRight w:val="0"/>
      <w:marTop w:val="0"/>
      <w:marBottom w:val="0"/>
      <w:divBdr>
        <w:top w:val="none" w:sz="0" w:space="0" w:color="auto"/>
        <w:left w:val="none" w:sz="0" w:space="0" w:color="auto"/>
        <w:bottom w:val="none" w:sz="0" w:space="0" w:color="auto"/>
        <w:right w:val="none" w:sz="0" w:space="0" w:color="auto"/>
      </w:divBdr>
    </w:div>
    <w:div w:id="1617518456">
      <w:bodyDiv w:val="1"/>
      <w:marLeft w:val="0"/>
      <w:marRight w:val="0"/>
      <w:marTop w:val="0"/>
      <w:marBottom w:val="0"/>
      <w:divBdr>
        <w:top w:val="none" w:sz="0" w:space="0" w:color="auto"/>
        <w:left w:val="none" w:sz="0" w:space="0" w:color="auto"/>
        <w:bottom w:val="none" w:sz="0" w:space="0" w:color="auto"/>
        <w:right w:val="none" w:sz="0" w:space="0" w:color="auto"/>
      </w:divBdr>
    </w:div>
    <w:div w:id="1620525800">
      <w:bodyDiv w:val="1"/>
      <w:marLeft w:val="0"/>
      <w:marRight w:val="0"/>
      <w:marTop w:val="0"/>
      <w:marBottom w:val="0"/>
      <w:divBdr>
        <w:top w:val="none" w:sz="0" w:space="0" w:color="auto"/>
        <w:left w:val="none" w:sz="0" w:space="0" w:color="auto"/>
        <w:bottom w:val="none" w:sz="0" w:space="0" w:color="auto"/>
        <w:right w:val="none" w:sz="0" w:space="0" w:color="auto"/>
      </w:divBdr>
    </w:div>
    <w:div w:id="1657109441">
      <w:bodyDiv w:val="1"/>
      <w:marLeft w:val="0"/>
      <w:marRight w:val="0"/>
      <w:marTop w:val="0"/>
      <w:marBottom w:val="0"/>
      <w:divBdr>
        <w:top w:val="none" w:sz="0" w:space="0" w:color="auto"/>
        <w:left w:val="none" w:sz="0" w:space="0" w:color="auto"/>
        <w:bottom w:val="none" w:sz="0" w:space="0" w:color="auto"/>
        <w:right w:val="none" w:sz="0" w:space="0" w:color="auto"/>
      </w:divBdr>
    </w:div>
    <w:div w:id="1991665249">
      <w:bodyDiv w:val="1"/>
      <w:marLeft w:val="0"/>
      <w:marRight w:val="0"/>
      <w:marTop w:val="0"/>
      <w:marBottom w:val="0"/>
      <w:divBdr>
        <w:top w:val="none" w:sz="0" w:space="0" w:color="auto"/>
        <w:left w:val="none" w:sz="0" w:space="0" w:color="auto"/>
        <w:bottom w:val="none" w:sz="0" w:space="0" w:color="auto"/>
        <w:right w:val="none" w:sz="0" w:space="0" w:color="auto"/>
      </w:divBdr>
    </w:div>
    <w:div w:id="1996058671">
      <w:bodyDiv w:val="1"/>
      <w:marLeft w:val="0"/>
      <w:marRight w:val="0"/>
      <w:marTop w:val="0"/>
      <w:marBottom w:val="0"/>
      <w:divBdr>
        <w:top w:val="none" w:sz="0" w:space="0" w:color="auto"/>
        <w:left w:val="none" w:sz="0" w:space="0" w:color="auto"/>
        <w:bottom w:val="none" w:sz="0" w:space="0" w:color="auto"/>
        <w:right w:val="none" w:sz="0" w:space="0" w:color="auto"/>
      </w:divBdr>
    </w:div>
    <w:div w:id="2065831432">
      <w:bodyDiv w:val="1"/>
      <w:marLeft w:val="0"/>
      <w:marRight w:val="0"/>
      <w:marTop w:val="0"/>
      <w:marBottom w:val="0"/>
      <w:divBdr>
        <w:top w:val="none" w:sz="0" w:space="0" w:color="auto"/>
        <w:left w:val="none" w:sz="0" w:space="0" w:color="auto"/>
        <w:bottom w:val="none" w:sz="0" w:space="0" w:color="auto"/>
        <w:right w:val="none" w:sz="0" w:space="0" w:color="auto"/>
      </w:divBdr>
    </w:div>
    <w:div w:id="2115519439">
      <w:bodyDiv w:val="1"/>
      <w:marLeft w:val="0"/>
      <w:marRight w:val="0"/>
      <w:marTop w:val="0"/>
      <w:marBottom w:val="0"/>
      <w:divBdr>
        <w:top w:val="none" w:sz="0" w:space="0" w:color="auto"/>
        <w:left w:val="none" w:sz="0" w:space="0" w:color="auto"/>
        <w:bottom w:val="none" w:sz="0" w:space="0" w:color="auto"/>
        <w:right w:val="none" w:sz="0" w:space="0" w:color="auto"/>
      </w:divBdr>
    </w:div>
    <w:div w:id="213820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ttishhumanrights.com/resources/policysubmissions/corroborationmarch20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ttishhumanrights.com/resources/policysubmissions/criminallaw20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ttishhumanrights.com/news/latestnews/carlowaynewsjune201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afeguardsreviewsecretariat@scotland.gsi.gov.uk" TargetMode="External"/><Relationship Id="rId4" Type="http://schemas.microsoft.com/office/2007/relationships/stylesWithEffects" Target="stylesWithEffects.xml"/><Relationship Id="rId9" Type="http://schemas.openxmlformats.org/officeDocument/2006/relationships/hyperlink" Target="http://www.scotland.gov.uk/About/Review/post-corroboration-safeguards" TargetMode="External"/><Relationship Id="rId14" Type="http://schemas.openxmlformats.org/officeDocument/2006/relationships/hyperlink" Target="http://scottishhumanrights.com/resources/policysubmissions/crimjusticsubmissionaug201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cottishhumanrights.com/actionplan/evidence" TargetMode="External"/><Relationship Id="rId2" Type="http://schemas.openxmlformats.org/officeDocument/2006/relationships/hyperlink" Target="http://scottishhumanrights.com/news/latestnews/article/cadderlegislationcomment" TargetMode="External"/><Relationship Id="rId1" Type="http://schemas.openxmlformats.org/officeDocument/2006/relationships/hyperlink" Target="http://scottishhumanrights.com/news/latestnews/article/cad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D59AE-1680-4514-BA17-CDC045E5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6926</Words>
  <Characters>37617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u415375</dc:creator>
  <cp:lastModifiedBy>n320070</cp:lastModifiedBy>
  <cp:revision>2</cp:revision>
  <cp:lastPrinted>2014-12-01T10:16:00Z</cp:lastPrinted>
  <dcterms:created xsi:type="dcterms:W3CDTF">2014-12-05T13:26:00Z</dcterms:created>
  <dcterms:modified xsi:type="dcterms:W3CDTF">2014-12-05T13:26:00Z</dcterms:modified>
</cp:coreProperties>
</file>